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638"/>
        <w:gridCol w:w="5244"/>
        <w:gridCol w:w="252"/>
        <w:gridCol w:w="178"/>
        <w:gridCol w:w="4144"/>
      </w:tblGrid>
      <w:tr w:rsidR="00A17AE4" w:rsidTr="35D990B6"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5D990B6"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5D990B6"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tcMar/>
            <w:vAlign w:val="center"/>
          </w:tcPr>
          <w:p w:rsidR="00093CA9" w:rsidP="00093CA9" w:rsidRDefault="00C365BC" w14:paraId="4F9450A3" w14:textId="5C7E77A5">
            <w:r>
              <w:t>Blomstein</w:t>
            </w:r>
          </w:p>
        </w:tc>
      </w:tr>
      <w:tr w:rsidR="00093CA9" w:rsidTr="35D990B6"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5D990B6" w14:paraId="213ED751" w14:textId="77777777">
        <w:trPr>
          <w:trHeight w:val="533"/>
        </w:trPr>
        <w:tc>
          <w:tcPr>
            <w:tcW w:w="1063" w:type="dxa"/>
            <w:tcMar/>
            <w:vAlign w:val="center"/>
          </w:tcPr>
          <w:p w:rsidR="00093CA9" w:rsidP="00093CA9" w:rsidRDefault="00093CA9" w14:paraId="12C9C9CE" w14:textId="77777777"/>
        </w:tc>
        <w:tc>
          <w:tcPr>
            <w:tcW w:w="9169" w:type="dxa"/>
            <w:gridSpan w:val="4"/>
            <w:tcMar/>
            <w:vAlign w:val="center"/>
          </w:tcPr>
          <w:p w:rsidR="00093CA9" w:rsidP="00093CA9" w:rsidRDefault="00633D69" w14:paraId="624F8F71" w14:textId="37C8F38E">
            <w:r>
              <w:t>Germany</w:t>
            </w:r>
          </w:p>
        </w:tc>
      </w:tr>
      <w:tr w:rsidRPr="00E50B13" w:rsidR="00093CA9" w:rsidTr="35D990B6"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5D990B6" w14:paraId="28ED661B" w14:textId="77777777">
        <w:trPr>
          <w:trHeight w:val="533"/>
        </w:trPr>
        <w:tc>
          <w:tcPr>
            <w:tcW w:w="1063" w:type="dxa"/>
            <w:tcMar/>
            <w:vAlign w:val="center"/>
          </w:tcPr>
          <w:p w:rsidR="00093CA9" w:rsidP="00093CA9" w:rsidRDefault="00093CA9" w14:paraId="59627549" w14:textId="77777777"/>
        </w:tc>
        <w:tc>
          <w:tcPr>
            <w:tcW w:w="9169" w:type="dxa"/>
            <w:gridSpan w:val="4"/>
            <w:tcMar/>
            <w:vAlign w:val="center"/>
          </w:tcPr>
          <w:p w:rsidR="00093CA9" w:rsidP="00093CA9" w:rsidRDefault="00325060" w14:paraId="313A697B" w14:textId="4D4A39B5">
            <w:r w:rsidRPr="00325060">
              <w:t>BaFin Guidance Notice on Dealing with Sustainability Risks (2020)</w:t>
            </w:r>
          </w:p>
        </w:tc>
      </w:tr>
      <w:tr w:rsidR="00093CA9" w:rsidTr="35D990B6"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5D990B6" w14:paraId="17DDB4EF" w14:textId="77777777">
        <w:trPr>
          <w:trHeight w:val="1021"/>
        </w:trPr>
        <w:tc>
          <w:tcPr>
            <w:tcW w:w="1063" w:type="dxa"/>
            <w:tcMar/>
            <w:vAlign w:val="center"/>
          </w:tcPr>
          <w:p w:rsidR="00093CA9" w:rsidP="00093CA9" w:rsidRDefault="00093CA9" w14:paraId="04C859A5" w14:textId="77777777"/>
        </w:tc>
        <w:tc>
          <w:tcPr>
            <w:tcW w:w="9169" w:type="dxa"/>
            <w:gridSpan w:val="4"/>
            <w:tcMar/>
            <w:vAlign w:val="center"/>
          </w:tcPr>
          <w:p w:rsidR="00797BDC" w:rsidP="00093CA9" w:rsidRDefault="00C42D3A" w14:paraId="1523C232" w14:textId="135EC6A8">
            <w:hyperlink r:id="Re50c690accfa4613">
              <w:r w:rsidRPr="35D990B6" w:rsidR="7F8E3CEF">
                <w:rPr>
                  <w:rStyle w:val="Hyperlink"/>
                </w:rPr>
                <w:t>https://web.archive.org/web/20250703153300/https://www.bafin.de/SharedDocs/Downloads/DE/Merkblatt/dl_mb_Nachhaltigkeitsrisiken.html</w:t>
              </w:r>
            </w:hyperlink>
            <w:r w:rsidR="7F8E3CEF">
              <w:rPr/>
              <w:t xml:space="preserve"> </w:t>
            </w:r>
          </w:p>
        </w:tc>
      </w:tr>
      <w:tr w:rsidRPr="005A2023" w:rsidR="00093CA9" w:rsidTr="35D990B6"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5D990B6"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tcMar/>
            <w:vAlign w:val="center"/>
          </w:tcPr>
          <w:p w:rsidR="00093CA9" w:rsidP="00093CA9" w:rsidRDefault="00093CA9" w14:paraId="4E49657F" w14:textId="77777777"/>
        </w:tc>
      </w:tr>
      <w:tr w:rsidR="00093CA9" w:rsidTr="35D990B6"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tcMar/>
            <w:vAlign w:val="center"/>
          </w:tcPr>
          <w:p w:rsidR="00093CA9" w:rsidP="00093CA9" w:rsidRDefault="00093CA9" w14:paraId="14F96ECD" w14:textId="77777777"/>
        </w:tc>
      </w:tr>
      <w:tr w:rsidR="00093CA9" w:rsidTr="35D990B6"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tcMar/>
            <w:vAlign w:val="center"/>
          </w:tcPr>
          <w:p w:rsidR="00093CA9" w:rsidP="00093CA9" w:rsidRDefault="00093CA9" w14:paraId="49932434" w14:textId="77777777"/>
        </w:tc>
      </w:tr>
      <w:tr w:rsidR="00093CA9" w:rsidTr="35D990B6"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tcMar/>
            <w:vAlign w:val="center"/>
          </w:tcPr>
          <w:p w:rsidR="00093CA9" w:rsidP="00093CA9" w:rsidRDefault="00093CA9" w14:paraId="676670DF" w14:textId="46B574FF"/>
        </w:tc>
      </w:tr>
      <w:tr w:rsidR="00093CA9" w:rsidTr="35D990B6"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tcMar/>
            <w:vAlign w:val="center"/>
          </w:tcPr>
          <w:p w:rsidR="00093CA9" w:rsidP="00093CA9" w:rsidRDefault="00325060" w14:paraId="0A5E7122" w14:textId="46369847">
            <w:r>
              <w:t>X</w:t>
            </w:r>
          </w:p>
        </w:tc>
      </w:tr>
      <w:tr w:rsidR="00093CA9" w:rsidTr="35D990B6"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tcMar/>
            <w:vAlign w:val="center"/>
          </w:tcPr>
          <w:p w:rsidR="00093CA9" w:rsidP="00093CA9" w:rsidRDefault="00093CA9" w14:paraId="791241EA" w14:textId="377CB841"/>
        </w:tc>
      </w:tr>
      <w:tr w:rsidR="00093CA9" w:rsidTr="35D990B6"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5D990B6" w14:paraId="707EB905" w14:textId="77777777">
        <w:trPr>
          <w:trHeight w:val="533"/>
        </w:trPr>
        <w:tc>
          <w:tcPr>
            <w:tcW w:w="1063" w:type="dxa"/>
            <w:tcMar/>
            <w:vAlign w:val="center"/>
          </w:tcPr>
          <w:p w:rsidR="00093CA9" w:rsidP="00093CA9" w:rsidRDefault="00093CA9" w14:paraId="3C6209F9" w14:textId="77777777"/>
        </w:tc>
        <w:tc>
          <w:tcPr>
            <w:tcW w:w="9169" w:type="dxa"/>
            <w:gridSpan w:val="4"/>
            <w:tcMar/>
            <w:vAlign w:val="center"/>
          </w:tcPr>
          <w:p w:rsidR="00093CA9" w:rsidP="00093CA9" w:rsidRDefault="00EA70F2" w14:paraId="1C60CC6F" w14:textId="42F0ACEE">
            <w:r w:rsidRPr="00EA70F2">
              <w:t>The Merkblatt zum Umgang mit Nachhaltigkeitsrisiken (commonly referred to as the BaFin Guidance Notice on Dealing with Sustainability Risks or BaFin Guidance) is a prudential supervisory tool issued by the German Federal Financial Supervisory Authority (BaFin). It sets out non-binding expectations on how financial institutions should identify, assess, mitigate and monitor financial risks arising from climate change and other sustainability factors</w:t>
            </w:r>
            <w:r>
              <w:t>.</w:t>
            </w:r>
          </w:p>
          <w:p w:rsidR="00EA70F2" w:rsidP="00093CA9" w:rsidRDefault="004E18CB" w14:paraId="467C5CEC" w14:textId="77777777">
            <w:r>
              <w:t>This</w:t>
            </w:r>
            <w:r w:rsidRPr="004E18CB">
              <w:t xml:space="preserve"> policy tool clarifies that sustainability risks are not a separate risk category, but act as drivers of existing risk types such as credit, market, operational and reputational risks</w:t>
            </w:r>
            <w:r>
              <w:t xml:space="preserve"> (</w:t>
            </w:r>
            <w:r w:rsidRPr="004E18CB">
              <w:t>Section 2.1</w:t>
            </w:r>
            <w:r>
              <w:t>)</w:t>
            </w:r>
            <w:r w:rsidRPr="004E18CB">
              <w:t xml:space="preserve">. Institutions are expected to integrate these risk drivers into their business strategy, risk-bearing capacity assessments, and internal control systems </w:t>
            </w:r>
            <w:r>
              <w:t>(</w:t>
            </w:r>
            <w:r w:rsidRPr="004E18CB">
              <w:t>Section 2.2</w:t>
            </w:r>
            <w:r>
              <w:t>)</w:t>
            </w:r>
            <w:r w:rsidRPr="004E18CB">
              <w:t>.</w:t>
            </w:r>
          </w:p>
          <w:p w:rsidR="00CB698E" w:rsidP="00093CA9" w:rsidRDefault="00CB698E" w14:paraId="4106EDBF" w14:textId="77777777">
            <w:r w:rsidRPr="00CB698E">
              <w:t>Structured into eight sections, the Guidance addresses: general principles (Section 1)</w:t>
            </w:r>
            <w:r>
              <w:t>;</w:t>
            </w:r>
            <w:r w:rsidRPr="00CB698E">
              <w:t xml:space="preserve"> risk strategy and management (Section 2)</w:t>
            </w:r>
            <w:r>
              <w:t>;</w:t>
            </w:r>
            <w:r w:rsidRPr="00CB698E">
              <w:t xml:space="preserve"> internal governance (Section 3)</w:t>
            </w:r>
            <w:r>
              <w:t xml:space="preserve">; </w:t>
            </w:r>
            <w:r w:rsidRPr="00CB698E">
              <w:t>operational risk management (Section 4)</w:t>
            </w:r>
            <w:r>
              <w:t>;</w:t>
            </w:r>
            <w:r w:rsidRPr="00CB698E">
              <w:t xml:space="preserve"> scenario analysis (Section 5)</w:t>
            </w:r>
            <w:r>
              <w:t>;</w:t>
            </w:r>
            <w:r w:rsidRPr="00CB698E">
              <w:t xml:space="preserve"> stress testing (Section 6)</w:t>
            </w:r>
            <w:r>
              <w:t>;</w:t>
            </w:r>
            <w:r w:rsidRPr="00CB698E">
              <w:t xml:space="preserve"> external communication (Section 7)</w:t>
            </w:r>
            <w:r>
              <w:t xml:space="preserve">; </w:t>
            </w:r>
            <w:r w:rsidRPr="00CB698E">
              <w:t xml:space="preserve">and group-wide implementation (Section 8). </w:t>
            </w:r>
          </w:p>
          <w:p w:rsidR="004E18CB" w:rsidP="00093CA9" w:rsidRDefault="00CB698E" w14:paraId="18257824" w14:textId="7EE562A9">
            <w:r w:rsidRPr="00CB698E">
              <w:t>Its application is subject to the principle of proportionality, tailored to the institution’s size, complexity and risk exposure</w:t>
            </w:r>
            <w:r>
              <w:t xml:space="preserve"> (</w:t>
            </w:r>
            <w:r w:rsidRPr="00CB698E">
              <w:t>Section 1.2</w:t>
            </w:r>
            <w:r>
              <w:t>)</w:t>
            </w:r>
            <w:r w:rsidRPr="00CB698E">
              <w:t>.</w:t>
            </w:r>
          </w:p>
        </w:tc>
      </w:tr>
      <w:tr w:rsidR="00093CA9" w:rsidTr="35D990B6"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5D990B6"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tcMar/>
            <w:vAlign w:val="center"/>
          </w:tcPr>
          <w:p w:rsidR="00093CA9" w:rsidP="00093CA9" w:rsidRDefault="00780989" w14:paraId="54354EEF" w14:textId="10696D23">
            <w:r>
              <w:t>X</w:t>
            </w:r>
          </w:p>
        </w:tc>
      </w:tr>
      <w:tr w:rsidR="00093CA9" w:rsidTr="35D990B6"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tcMar/>
            <w:vAlign w:val="center"/>
          </w:tcPr>
          <w:p w:rsidR="00093CA9" w:rsidP="00093CA9" w:rsidRDefault="00093CA9" w14:paraId="7E87AE91" w14:textId="77777777"/>
        </w:tc>
      </w:tr>
      <w:tr w:rsidR="003D6DA5" w:rsidTr="35D990B6"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tcMar/>
            <w:vAlign w:val="center"/>
          </w:tcPr>
          <w:p w:rsidR="003D6DA5" w:rsidRDefault="003D6DA5" w14:paraId="3B8D198C" w14:textId="77777777"/>
        </w:tc>
      </w:tr>
      <w:tr w:rsidR="002B255F" w:rsidTr="35D990B6"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tcMar/>
            <w:vAlign w:val="center"/>
          </w:tcPr>
          <w:p w:rsidR="002B255F" w:rsidRDefault="002B255F" w14:paraId="2FD900BD" w14:textId="77777777"/>
        </w:tc>
      </w:tr>
      <w:tr w:rsidR="003D6DA5" w:rsidTr="35D990B6"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tcMar/>
            <w:vAlign w:val="center"/>
          </w:tcPr>
          <w:p w:rsidR="003D6DA5" w:rsidP="00093CA9" w:rsidRDefault="003D6DA5" w14:paraId="7F5FECBA" w14:textId="77777777"/>
        </w:tc>
      </w:tr>
      <w:tr w:rsidR="00093CA9" w:rsidTr="35D990B6"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tcMar/>
            <w:vAlign w:val="center"/>
          </w:tcPr>
          <w:p w:rsidR="00093CA9" w:rsidP="00093CA9" w:rsidRDefault="00093CA9" w14:paraId="1D526E48" w14:textId="1B0B4271"/>
        </w:tc>
      </w:tr>
      <w:tr w:rsidR="00093CA9" w:rsidTr="35D990B6"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5D990B6" w14:paraId="645C48AE" w14:textId="77777777">
        <w:trPr>
          <w:trHeight w:val="533"/>
        </w:trPr>
        <w:tc>
          <w:tcPr>
            <w:tcW w:w="1063" w:type="dxa"/>
            <w:tcMar/>
            <w:vAlign w:val="center"/>
          </w:tcPr>
          <w:p w:rsidR="00093CA9" w:rsidP="00093CA9" w:rsidRDefault="00093CA9" w14:paraId="36DF578D" w14:textId="77777777"/>
        </w:tc>
        <w:tc>
          <w:tcPr>
            <w:tcW w:w="9169" w:type="dxa"/>
            <w:gridSpan w:val="4"/>
            <w:tcMar/>
            <w:vAlign w:val="center"/>
          </w:tcPr>
          <w:p w:rsidR="00093CA9" w:rsidP="00093CA9" w:rsidRDefault="00093CA9" w14:paraId="312E9D7B" w14:textId="77777777"/>
        </w:tc>
      </w:tr>
      <w:tr w:rsidR="00093CA9" w:rsidTr="35D990B6"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5D990B6"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tcMar/>
            <w:vAlign w:val="center"/>
          </w:tcPr>
          <w:p w:rsidRPr="00173D7C" w:rsidR="00093CA9" w:rsidP="00093CA9" w:rsidRDefault="00D60661" w14:paraId="22A2FF1A" w14:textId="0A206813">
            <w:pPr>
              <w:rPr>
                <w:color w:val="000000" w:themeColor="text1"/>
              </w:rPr>
            </w:pPr>
            <w:r>
              <w:rPr>
                <w:color w:val="000000" w:themeColor="text1"/>
              </w:rPr>
              <w:t>2019</w:t>
            </w:r>
          </w:p>
        </w:tc>
      </w:tr>
      <w:tr w:rsidR="00093CA9" w:rsidTr="35D990B6"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5D990B6"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tcMar/>
            <w:vAlign w:val="center"/>
          </w:tcPr>
          <w:p w:rsidRPr="00173D7C" w:rsidR="00093CA9" w:rsidP="00093CA9" w:rsidRDefault="006027AE" w14:paraId="5AD2325B" w14:textId="59B16C4D">
            <w:pPr>
              <w:rPr>
                <w:color w:val="000000" w:themeColor="text1"/>
              </w:rPr>
            </w:pPr>
            <w:r>
              <w:rPr>
                <w:color w:val="000000" w:themeColor="text1"/>
              </w:rPr>
              <w:t>2019</w:t>
            </w:r>
          </w:p>
        </w:tc>
      </w:tr>
      <w:tr w:rsidR="00093CA9" w:rsidTr="35D990B6"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5D990B6"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tcMar/>
            <w:vAlign w:val="center"/>
          </w:tcPr>
          <w:p w:rsidRPr="00587FAE" w:rsidR="00093CA9" w:rsidP="00093CA9" w:rsidRDefault="00093CA9" w14:paraId="1A1B9D26" w14:textId="77777777">
            <w:pPr>
              <w:rPr>
                <w:color w:val="000000" w:themeColor="text1"/>
              </w:rPr>
            </w:pPr>
          </w:p>
        </w:tc>
      </w:tr>
      <w:tr w:rsidR="00093CA9" w:rsidTr="35D990B6"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5D990B6"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tcMar/>
            <w:vAlign w:val="center"/>
          </w:tcPr>
          <w:p w:rsidRPr="007419BF" w:rsidR="00093CA9" w:rsidP="00093CA9" w:rsidRDefault="00093CA9" w14:paraId="212B1951" w14:textId="77777777">
            <w:pPr>
              <w:rPr>
                <w:color w:val="000000" w:themeColor="text1"/>
              </w:rPr>
            </w:pPr>
          </w:p>
        </w:tc>
      </w:tr>
      <w:tr w:rsidRPr="00E50B13" w:rsidR="00093CA9" w:rsidTr="35D990B6"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Pr="001004B0" w:rsidR="00093CA9" w:rsidTr="35D990B6"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tcMar/>
            <w:vAlign w:val="center"/>
          </w:tcPr>
          <w:p w:rsidRPr="001004B0" w:rsidR="00093CA9" w:rsidP="00093CA9" w:rsidRDefault="001004B0" w14:paraId="7961F236" w14:textId="761F9557">
            <w:pPr>
              <w:rPr>
                <w:lang w:val="de-DE"/>
              </w:rPr>
            </w:pPr>
            <w:r w:rsidRPr="001004B0">
              <w:rPr>
                <w:lang w:val="de-DE"/>
              </w:rPr>
              <w:t>Federal Financial Supervisory Authority (Bundesanstalt für Finanzdienstleistungsaufsicht — BaFin)</w:t>
            </w:r>
          </w:p>
        </w:tc>
      </w:tr>
      <w:tr w:rsidRPr="006B7B0D" w:rsidR="00093CA9" w:rsidTr="35D990B6"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E65674" w:rsidR="00093CA9" w:rsidTr="35D990B6"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E65674" w:rsidR="00093CA9" w:rsidP="00093CA9" w:rsidRDefault="00E65674" w14:paraId="58D97C26" w14:textId="4854BE91">
            <w:pPr>
              <w:rPr>
                <w:lang w:val="de-DE"/>
              </w:rPr>
            </w:pPr>
            <w:r>
              <w:rPr>
                <w:lang w:val="de-DE"/>
              </w:rPr>
              <w:t>F</w:t>
            </w:r>
            <w:r w:rsidRPr="00E65674">
              <w:rPr>
                <w:lang w:val="de-DE"/>
              </w:rPr>
              <w:t>ederal Financial Supervisory Authority (Bundesanstalt für Finanzdienstleistungsaufsicht — BaFin)</w:t>
            </w:r>
          </w:p>
        </w:tc>
      </w:tr>
      <w:tr w:rsidRPr="006B7B0D" w:rsidR="00093CA9" w:rsidTr="35D990B6"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D990B6"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tcMar/>
            <w:vAlign w:val="center"/>
          </w:tcPr>
          <w:p w:rsidRPr="006B7B0D" w:rsidR="00093CA9" w:rsidP="00093CA9" w:rsidRDefault="00093CA9" w14:paraId="2BF89CCD" w14:textId="77777777"/>
        </w:tc>
      </w:tr>
      <w:tr w:rsidRPr="006B7B0D" w:rsidR="00093CA9" w:rsidTr="35D990B6"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tcMar/>
            <w:vAlign w:val="center"/>
          </w:tcPr>
          <w:p w:rsidRPr="006B7B0D" w:rsidR="00093CA9" w:rsidP="00093CA9" w:rsidRDefault="00093CA9" w14:paraId="06104883" w14:textId="77777777"/>
        </w:tc>
      </w:tr>
      <w:tr w:rsidRPr="006B7B0D" w:rsidR="00093CA9" w:rsidTr="35D990B6"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35D990B6"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2F5321" w14:paraId="6DCCE4F4" w14:textId="510D362B">
            <w:r>
              <w:t>X</w:t>
            </w:r>
          </w:p>
        </w:tc>
      </w:tr>
      <w:tr w:rsidRPr="006B7B0D" w:rsidR="00093CA9" w:rsidTr="35D990B6"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5D990B6"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tc>
      </w:tr>
      <w:tr w:rsidRPr="006B7B0D" w:rsidR="00093CA9" w:rsidTr="35D990B6" w14:paraId="6AB9B869" w14:textId="77777777">
        <w:trPr>
          <w:trHeight w:val="63"/>
        </w:trPr>
        <w:tc>
          <w:tcPr>
            <w:tcW w:w="1063" w:type="dxa"/>
            <w:tcMar/>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D990B6" w14:paraId="1BA88269" w14:textId="77777777">
        <w:trPr>
          <w:trHeight w:val="63"/>
        </w:trPr>
        <w:tc>
          <w:tcPr>
            <w:tcW w:w="1063" w:type="dxa"/>
            <w:tcMar/>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tcMar/>
            <w:vAlign w:val="center"/>
          </w:tcPr>
          <w:p w:rsidRPr="006B7B0D" w:rsidR="00093CA9" w:rsidP="00093CA9" w:rsidRDefault="00093CA9" w14:paraId="3A6A50BF" w14:textId="77777777"/>
        </w:tc>
      </w:tr>
      <w:tr w:rsidRPr="006B7B0D" w:rsidR="00093CA9" w:rsidTr="35D990B6"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tcMar/>
            <w:vAlign w:val="center"/>
          </w:tcPr>
          <w:p w:rsidRPr="006B7B0D" w:rsidR="00093CA9" w:rsidP="00093CA9" w:rsidRDefault="00093CA9" w14:paraId="325AB748" w14:textId="77777777"/>
        </w:tc>
      </w:tr>
      <w:tr w:rsidRPr="006B7B0D" w:rsidR="00093CA9" w:rsidTr="35D990B6" w14:paraId="18F660AB" w14:textId="77777777">
        <w:trPr>
          <w:trHeight w:val="63"/>
        </w:trPr>
        <w:tc>
          <w:tcPr>
            <w:tcW w:w="1063" w:type="dxa"/>
            <w:tcMar/>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tcMar/>
            <w:vAlign w:val="center"/>
          </w:tcPr>
          <w:p w:rsidRPr="006B7B0D" w:rsidR="00093CA9" w:rsidP="00093CA9" w:rsidRDefault="00093CA9" w14:paraId="5989DD29" w14:textId="77777777"/>
        </w:tc>
      </w:tr>
      <w:tr w:rsidRPr="006B7B0D" w:rsidR="00093CA9" w:rsidTr="35D990B6"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tcMar/>
            <w:vAlign w:val="center"/>
          </w:tcPr>
          <w:p w:rsidRPr="006B7B0D" w:rsidR="00093CA9" w:rsidP="00093CA9" w:rsidRDefault="00093CA9" w14:paraId="6FFE5C36" w14:textId="77777777"/>
        </w:tc>
      </w:tr>
      <w:tr w:rsidRPr="006B7B0D" w:rsidR="00093CA9" w:rsidTr="35D990B6"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35D990B6"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tc>
      </w:tr>
      <w:tr w:rsidRPr="006B7B0D" w:rsidR="00093CA9" w:rsidTr="35D990B6"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D990B6"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tcMar/>
            <w:vAlign w:val="center"/>
          </w:tcPr>
          <w:p w:rsidRPr="006B7B0D" w:rsidR="00093CA9" w:rsidP="00093CA9" w:rsidRDefault="00093CA9" w14:paraId="7CCBB24C" w14:textId="77777777"/>
        </w:tc>
      </w:tr>
      <w:tr w:rsidRPr="006B7B0D" w:rsidR="00093CA9" w:rsidTr="35D990B6"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tcMar/>
            <w:vAlign w:val="center"/>
          </w:tcPr>
          <w:p w:rsidRPr="006B7B0D" w:rsidR="00093CA9" w:rsidP="00093CA9" w:rsidRDefault="00093CA9" w14:paraId="1E169CCE" w14:textId="77777777"/>
        </w:tc>
      </w:tr>
      <w:tr w:rsidRPr="006B7B0D" w:rsidR="00093CA9" w:rsidTr="35D990B6"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tcMar/>
            <w:vAlign w:val="center"/>
          </w:tcPr>
          <w:p w:rsidRPr="006B7B0D" w:rsidR="00093CA9" w:rsidP="00093CA9" w:rsidRDefault="00093CA9" w14:paraId="6CA00AB3" w14:textId="77777777"/>
        </w:tc>
      </w:tr>
      <w:tr w:rsidRPr="006B7B0D" w:rsidR="00093CA9" w:rsidTr="35D990B6" w14:paraId="36227F50" w14:textId="77777777">
        <w:trPr>
          <w:trHeight w:val="63"/>
        </w:trPr>
        <w:tc>
          <w:tcPr>
            <w:tcW w:w="1063" w:type="dxa"/>
            <w:tcMar/>
            <w:vAlign w:val="center"/>
          </w:tcPr>
          <w:p w:rsidRPr="006B7B0D" w:rsidR="00093CA9" w:rsidP="00093CA9" w:rsidRDefault="00093CA9" w14:paraId="475F5BD3" w14:textId="77777777">
            <w:r w:rsidRPr="006B7B0D">
              <w:lastRenderedPageBreak/>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35D990B6"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5D990B6"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tc>
      </w:tr>
      <w:tr w:rsidRPr="006B7B0D" w:rsidR="00093CA9" w:rsidTr="35D990B6"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D990B6"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tcMar/>
            <w:vAlign w:val="center"/>
          </w:tcPr>
          <w:p w:rsidRPr="006B7B0D" w:rsidR="00093CA9" w:rsidP="00093CA9" w:rsidRDefault="00093CA9" w14:paraId="36FFFEDB" w14:textId="77777777"/>
        </w:tc>
      </w:tr>
      <w:tr w:rsidRPr="006B7B0D" w:rsidR="00093CA9" w:rsidTr="35D990B6"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tcMar/>
            <w:vAlign w:val="center"/>
          </w:tcPr>
          <w:p w:rsidRPr="006B7B0D" w:rsidR="00093CA9" w:rsidP="00093CA9" w:rsidRDefault="00093CA9" w14:paraId="2258416A" w14:textId="77777777"/>
        </w:tc>
      </w:tr>
      <w:tr w:rsidRPr="006B7B0D" w:rsidR="00093CA9" w:rsidTr="35D990B6" w14:paraId="6F89B1B5" w14:textId="77777777">
        <w:trPr>
          <w:trHeight w:val="63"/>
        </w:trPr>
        <w:tc>
          <w:tcPr>
            <w:tcW w:w="1063" w:type="dxa"/>
            <w:tcMar/>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tcMar/>
            <w:vAlign w:val="center"/>
          </w:tcPr>
          <w:p w:rsidRPr="006B7B0D" w:rsidR="00093CA9" w:rsidP="00093CA9" w:rsidRDefault="00093CA9" w14:paraId="097884C2" w14:textId="77777777"/>
        </w:tc>
      </w:tr>
      <w:tr w:rsidRPr="006B7B0D" w:rsidR="00093CA9" w:rsidTr="35D990B6"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35D990B6"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5D990B6"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tc>
      </w:tr>
      <w:tr w:rsidRPr="006B7B0D" w:rsidR="00093CA9" w:rsidTr="35D990B6"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D990B6"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tcMar/>
            <w:vAlign w:val="center"/>
          </w:tcPr>
          <w:p w:rsidRPr="006B7B0D" w:rsidR="00093CA9" w:rsidP="00093CA9" w:rsidRDefault="00093CA9" w14:paraId="65FA4173" w14:textId="77777777"/>
        </w:tc>
      </w:tr>
      <w:tr w:rsidRPr="006B7B0D" w:rsidR="00093CA9" w:rsidTr="35D990B6" w14:paraId="40A766AA" w14:textId="77777777">
        <w:trPr>
          <w:trHeight w:val="63"/>
        </w:trPr>
        <w:tc>
          <w:tcPr>
            <w:tcW w:w="1063" w:type="dxa"/>
            <w:tcMar/>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tcMar/>
            <w:vAlign w:val="center"/>
          </w:tcPr>
          <w:p w:rsidRPr="006B7B0D" w:rsidR="00093CA9" w:rsidP="00093CA9" w:rsidRDefault="00093CA9" w14:paraId="410D9203" w14:textId="77777777"/>
        </w:tc>
      </w:tr>
      <w:tr w:rsidRPr="006B7B0D" w:rsidR="00093CA9" w:rsidTr="35D990B6"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tcMar/>
            <w:vAlign w:val="center"/>
          </w:tcPr>
          <w:p w:rsidRPr="006B7B0D" w:rsidR="00093CA9" w:rsidP="00093CA9" w:rsidRDefault="00093CA9" w14:paraId="581FA8E7" w14:textId="77777777"/>
        </w:tc>
      </w:tr>
      <w:tr w:rsidRPr="006B7B0D" w:rsidR="00093CA9" w:rsidTr="35D990B6"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35D990B6"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5D990B6" w14:paraId="50F2DDFC" w14:textId="77777777">
        <w:trPr>
          <w:trHeight w:val="1020"/>
        </w:trPr>
        <w:tc>
          <w:tcPr>
            <w:tcW w:w="1063" w:type="dxa"/>
            <w:tcMar/>
            <w:vAlign w:val="center"/>
          </w:tcPr>
          <w:p w:rsidR="00093CA9" w:rsidP="00093CA9" w:rsidRDefault="00093CA9" w14:paraId="6B62A7E8" w14:textId="77777777"/>
        </w:tc>
        <w:tc>
          <w:tcPr>
            <w:tcW w:w="9169" w:type="dxa"/>
            <w:gridSpan w:val="4"/>
            <w:tcMar/>
            <w:vAlign w:val="center"/>
          </w:tcPr>
          <w:p w:rsidR="00093CA9" w:rsidP="00093CA9" w:rsidRDefault="00093CA9" w14:paraId="42D06D03" w14:textId="77777777"/>
        </w:tc>
      </w:tr>
      <w:tr w:rsidR="00093CA9" w:rsidTr="35D990B6"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5D990B6"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tcMar/>
            <w:vAlign w:val="center"/>
          </w:tcPr>
          <w:p w:rsidR="00093CA9" w:rsidP="00093CA9" w:rsidRDefault="006B5605" w14:paraId="146E2BFD" w14:textId="0CCFF85B">
            <w:r>
              <w:t>X</w:t>
            </w:r>
          </w:p>
        </w:tc>
      </w:tr>
      <w:tr w:rsidR="00093CA9" w:rsidTr="35D990B6"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tcMar/>
            <w:vAlign w:val="center"/>
          </w:tcPr>
          <w:p w:rsidR="00093CA9" w:rsidP="00093CA9" w:rsidRDefault="00093CA9" w14:paraId="54F7EBC8" w14:textId="47F4939E"/>
        </w:tc>
      </w:tr>
      <w:tr w:rsidR="00093CA9" w:rsidTr="35D990B6"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5D990B6" w14:paraId="0F291701" w14:textId="77777777">
        <w:trPr>
          <w:trHeight w:val="1020"/>
        </w:trPr>
        <w:tc>
          <w:tcPr>
            <w:tcW w:w="1063" w:type="dxa"/>
            <w:tcMar/>
            <w:vAlign w:val="center"/>
          </w:tcPr>
          <w:p w:rsidR="00093CA9" w:rsidP="00093CA9" w:rsidRDefault="00093CA9" w14:paraId="08EDF6C9" w14:textId="77777777"/>
        </w:tc>
        <w:tc>
          <w:tcPr>
            <w:tcW w:w="9169" w:type="dxa"/>
            <w:gridSpan w:val="4"/>
            <w:tcMar/>
            <w:vAlign w:val="center"/>
          </w:tcPr>
          <w:p w:rsidR="00023AE3" w:rsidP="00093CA9" w:rsidRDefault="00023AE3" w14:paraId="4A86AC24" w14:textId="13A9D06B">
            <w:pPr>
              <w:keepNext w:val="1"/>
              <w:rPr>
                <w:color w:val="000000" w:themeColor="text1"/>
              </w:rPr>
            </w:pPr>
            <w:r w:rsidRPr="35D990B6" w:rsidR="4FE83132">
              <w:rPr>
                <w:color w:val="000000" w:themeColor="text1" w:themeTint="FF" w:themeShade="FF"/>
              </w:rPr>
              <w:t>The BaFin</w:t>
            </w:r>
            <w:r w:rsidRPr="35D990B6" w:rsidR="6520F91D">
              <w:rPr>
                <w:color w:val="000000" w:themeColor="text1" w:themeTint="FF" w:themeShade="FF"/>
              </w:rPr>
              <w:t xml:space="preserve"> Guidance</w:t>
            </w:r>
            <w:r w:rsidRPr="35D990B6" w:rsidR="4FE83132">
              <w:rPr>
                <w:color w:val="000000" w:themeColor="text1" w:themeTint="FF" w:themeShade="FF"/>
              </w:rPr>
              <w:t xml:space="preserve"> is overseen by BaFin through ongoing supervisory activities, including structured surveys and on-site inspections to assess how institutions integrate sustainability risks. </w:t>
            </w:r>
          </w:p>
          <w:p w:rsidRPr="008017F9" w:rsidR="00093CA9" w:rsidP="00093CA9" w:rsidRDefault="00023AE3" w14:paraId="2C2128DB" w14:textId="088752F8">
            <w:pPr>
              <w:keepNext/>
              <w:rPr>
                <w:color w:val="000000" w:themeColor="text1"/>
              </w:rPr>
            </w:pPr>
            <w:r w:rsidRPr="00023AE3">
              <w:rPr>
                <w:color w:val="000000" w:themeColor="text1"/>
              </w:rPr>
              <w:t>However, the Guidance itself does not specify mandatory periodic reporting requirements nor does it mandate open data or public dashboards for monitoring implementation.</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7FA944" w14:textId="77777777"/>
        </w:tc>
        <w:tc>
          <w:tcPr>
            <w:tcW w:w="1440" w:type="dxa"/>
            <w:vAlign w:val="center"/>
          </w:tcPr>
          <w:p w:rsidR="00B0479E" w:rsidP="00DD3144" w:rsidRDefault="00B0479E" w14:paraId="028D81AE" w14:textId="77777777"/>
        </w:tc>
        <w:tc>
          <w:tcPr>
            <w:tcW w:w="1890" w:type="dxa"/>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58FF7AF7" w14:textId="77777777"/>
        </w:tc>
        <w:tc>
          <w:tcPr>
            <w:tcW w:w="1440" w:type="dxa"/>
            <w:vAlign w:val="center"/>
          </w:tcPr>
          <w:p w:rsidR="00B0479E" w:rsidP="00DD3144" w:rsidRDefault="00B0479E" w14:paraId="5C1D356A" w14:textId="77777777"/>
        </w:tc>
        <w:tc>
          <w:tcPr>
            <w:tcW w:w="1890" w:type="dxa"/>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vAlign w:val="center"/>
          </w:tcPr>
          <w:p w:rsidR="00B0479E" w:rsidP="00DD3144" w:rsidRDefault="00B0479E" w14:paraId="42963139" w14:textId="77777777"/>
        </w:tc>
        <w:tc>
          <w:tcPr>
            <w:tcW w:w="1440" w:type="dxa"/>
            <w:vAlign w:val="center"/>
          </w:tcPr>
          <w:p w:rsidR="00B0479E" w:rsidP="00DD3144" w:rsidRDefault="00B0479E" w14:paraId="16EB1CB8" w14:textId="77777777"/>
        </w:tc>
        <w:tc>
          <w:tcPr>
            <w:tcW w:w="1890" w:type="dxa"/>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vAlign w:val="center"/>
          </w:tcPr>
          <w:p w:rsidR="00B0479E" w:rsidP="00DD3144" w:rsidRDefault="00B0479E" w14:paraId="2A2BA767" w14:textId="77777777"/>
        </w:tc>
        <w:tc>
          <w:tcPr>
            <w:tcW w:w="1440" w:type="dxa"/>
            <w:vAlign w:val="center"/>
          </w:tcPr>
          <w:p w:rsidR="00B0479E" w:rsidP="00DD3144" w:rsidRDefault="00B0479E" w14:paraId="67C1DCBA" w14:textId="77777777"/>
        </w:tc>
        <w:tc>
          <w:tcPr>
            <w:tcW w:w="1890" w:type="dxa"/>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400B08" w14:textId="77777777"/>
        </w:tc>
        <w:tc>
          <w:tcPr>
            <w:tcW w:w="1440" w:type="dxa"/>
            <w:vAlign w:val="center"/>
          </w:tcPr>
          <w:p w:rsidR="00B0479E" w:rsidP="00DD3144" w:rsidRDefault="00B0479E" w14:paraId="79F426CB" w14:textId="77777777"/>
        </w:tc>
        <w:tc>
          <w:tcPr>
            <w:tcW w:w="1890" w:type="dxa"/>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vAlign w:val="center"/>
          </w:tcPr>
          <w:p w:rsidR="00B0479E" w:rsidP="00DD3144" w:rsidRDefault="00B0479E" w14:paraId="04C97ADB" w14:textId="77777777"/>
        </w:tc>
        <w:tc>
          <w:tcPr>
            <w:tcW w:w="1440" w:type="dxa"/>
            <w:vAlign w:val="center"/>
          </w:tcPr>
          <w:p w:rsidR="00B0479E" w:rsidP="00DD3144" w:rsidRDefault="00B0479E" w14:paraId="407AD89C" w14:textId="77777777"/>
        </w:tc>
        <w:tc>
          <w:tcPr>
            <w:tcW w:w="1890" w:type="dxa"/>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vAlign w:val="center"/>
          </w:tcPr>
          <w:p w:rsidR="00B0479E" w:rsidP="00DD3144" w:rsidRDefault="00B0479E" w14:paraId="6D23C124" w14:textId="77777777"/>
        </w:tc>
        <w:tc>
          <w:tcPr>
            <w:tcW w:w="1440" w:type="dxa"/>
            <w:vAlign w:val="center"/>
          </w:tcPr>
          <w:p w:rsidR="00B0479E" w:rsidP="00DD3144" w:rsidRDefault="00B0479E" w14:paraId="0FB585A8" w14:textId="77777777"/>
        </w:tc>
        <w:tc>
          <w:tcPr>
            <w:tcW w:w="1890" w:type="dxa"/>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vAlign w:val="center"/>
          </w:tcPr>
          <w:p w:rsidR="00B0479E" w:rsidP="00DD3144" w:rsidRDefault="00B0479E" w14:paraId="788B865B" w14:textId="77777777"/>
        </w:tc>
        <w:tc>
          <w:tcPr>
            <w:tcW w:w="1440" w:type="dxa"/>
            <w:vAlign w:val="center"/>
          </w:tcPr>
          <w:p w:rsidR="00B0479E" w:rsidP="00DD3144" w:rsidRDefault="00B0479E" w14:paraId="1BAE4A5F" w14:textId="77777777"/>
        </w:tc>
        <w:tc>
          <w:tcPr>
            <w:tcW w:w="1890" w:type="dxa"/>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rsidR="00B0479E" w:rsidP="00DD3144" w:rsidRDefault="00B0479E" w14:paraId="6F55A6C2" w14:textId="77777777"/>
        </w:tc>
        <w:tc>
          <w:tcPr>
            <w:tcW w:w="1440" w:type="dxa"/>
            <w:vAlign w:val="center"/>
          </w:tcPr>
          <w:p w:rsidR="00B0479E" w:rsidP="00DD3144" w:rsidRDefault="00B0479E" w14:paraId="43EB5690" w14:textId="77777777"/>
        </w:tc>
        <w:tc>
          <w:tcPr>
            <w:tcW w:w="1890" w:type="dxa"/>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vAlign w:val="center"/>
          </w:tcPr>
          <w:p w:rsidR="00484663" w:rsidP="00DD3144" w:rsidRDefault="00484663" w14:paraId="0048B9DA" w14:textId="77777777"/>
        </w:tc>
        <w:tc>
          <w:tcPr>
            <w:tcW w:w="1440" w:type="dxa"/>
            <w:vAlign w:val="center"/>
          </w:tcPr>
          <w:p w:rsidR="00484663" w:rsidP="00DD3144" w:rsidRDefault="00484663" w14:paraId="010EA0B6" w14:textId="77777777"/>
        </w:tc>
        <w:tc>
          <w:tcPr>
            <w:tcW w:w="1890" w:type="dxa"/>
            <w:vAlign w:val="center"/>
          </w:tcPr>
          <w:p w:rsidR="00484663" w:rsidP="00DD3144" w:rsidRDefault="00484663" w14:paraId="046D9BE7" w14:textId="0965D499"/>
        </w:tc>
      </w:tr>
      <w:tr w:rsidR="00484663" w:rsidTr="00CC7CC0" w14:paraId="69D8FE15" w14:textId="77777777">
        <w:trPr>
          <w:trHeight w:val="224"/>
        </w:trPr>
        <w:tc>
          <w:tcPr>
            <w:tcW w:w="990" w:type="dxa"/>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vAlign w:val="center"/>
          </w:tcPr>
          <w:p w:rsidR="00484663" w:rsidP="00DD3144" w:rsidRDefault="00484663" w14:paraId="24B15D5C" w14:textId="77777777"/>
        </w:tc>
        <w:tc>
          <w:tcPr>
            <w:tcW w:w="1440" w:type="dxa"/>
            <w:vAlign w:val="center"/>
          </w:tcPr>
          <w:p w:rsidR="00484663" w:rsidP="00DD3144" w:rsidRDefault="00484663" w14:paraId="43575BB4" w14:textId="77777777"/>
        </w:tc>
        <w:tc>
          <w:tcPr>
            <w:tcW w:w="1890" w:type="dxa"/>
            <w:vAlign w:val="center"/>
          </w:tcPr>
          <w:p w:rsidR="00484663" w:rsidP="00DD3144" w:rsidRDefault="00484663" w14:paraId="0D936010" w14:textId="1837532B"/>
        </w:tc>
      </w:tr>
      <w:tr w:rsidR="00484663" w:rsidTr="00CC7CC0" w14:paraId="230C62FB" w14:textId="77777777">
        <w:trPr>
          <w:trHeight w:val="224"/>
        </w:trPr>
        <w:tc>
          <w:tcPr>
            <w:tcW w:w="990" w:type="dxa"/>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rsidR="00484663" w:rsidP="00DD3144" w:rsidRDefault="00484663" w14:paraId="5F9B0D59" w14:textId="77777777"/>
        </w:tc>
        <w:tc>
          <w:tcPr>
            <w:tcW w:w="1440" w:type="dxa"/>
            <w:vAlign w:val="center"/>
          </w:tcPr>
          <w:p w:rsidR="00484663" w:rsidP="00DD3144" w:rsidRDefault="00484663" w14:paraId="5A5C0BA3" w14:textId="77777777"/>
        </w:tc>
        <w:tc>
          <w:tcPr>
            <w:tcW w:w="1890" w:type="dxa"/>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850F36" w14:paraId="0322FE29" w14:textId="77777777">
            <w:pPr>
              <w:rPr>
                <w:rFonts w:ascii="Calibri" w:hAnsi="Calibri" w:cs="Calibri"/>
              </w:rPr>
            </w:pPr>
          </w:p>
        </w:tc>
        <w:tc>
          <w:tcPr>
            <w:tcW w:w="1334" w:type="dxa"/>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850F36" w14:paraId="1F1FF9DF" w14:textId="77777777">
            <w:pPr>
              <w:rPr>
                <w:rFonts w:ascii="Calibri" w:hAnsi="Calibri" w:cs="Calibri"/>
              </w:rPr>
            </w:pPr>
          </w:p>
        </w:tc>
        <w:tc>
          <w:tcPr>
            <w:tcW w:w="1334" w:type="dxa"/>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43F607C" w14:textId="77777777">
            <w:pPr>
              <w:rPr>
                <w:rFonts w:ascii="Calibri" w:hAnsi="Calibri" w:cs="Calibri"/>
              </w:rPr>
            </w:pPr>
          </w:p>
        </w:tc>
        <w:tc>
          <w:tcPr>
            <w:tcW w:w="1456" w:type="dxa"/>
            <w:vAlign w:val="center"/>
          </w:tcPr>
          <w:p w:rsidRPr="00C37D48" w:rsidR="00850F36" w:rsidP="00C37D48" w:rsidRDefault="00850F36" w14:paraId="7E653E8C" w14:textId="77777777">
            <w:pPr>
              <w:rPr>
                <w:rFonts w:ascii="Calibri" w:hAnsi="Calibri" w:cs="Calibri"/>
              </w:rPr>
            </w:pPr>
          </w:p>
        </w:tc>
        <w:tc>
          <w:tcPr>
            <w:tcW w:w="1334" w:type="dxa"/>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3F3786E" w14:textId="77777777">
            <w:pPr>
              <w:rPr>
                <w:rFonts w:ascii="Calibri" w:hAnsi="Calibri" w:cs="Calibri"/>
              </w:rPr>
            </w:pPr>
          </w:p>
        </w:tc>
        <w:tc>
          <w:tcPr>
            <w:tcW w:w="1456" w:type="dxa"/>
            <w:vAlign w:val="center"/>
          </w:tcPr>
          <w:p w:rsidRPr="00C37D48" w:rsidR="00850F36" w:rsidP="00C37D48" w:rsidRDefault="00850F36" w14:paraId="0E60101F" w14:textId="77777777">
            <w:pPr>
              <w:rPr>
                <w:rFonts w:ascii="Calibri" w:hAnsi="Calibri" w:cs="Calibri"/>
              </w:rPr>
            </w:pPr>
          </w:p>
        </w:tc>
        <w:tc>
          <w:tcPr>
            <w:tcW w:w="1334" w:type="dxa"/>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D30302F" w14:textId="77777777">
            <w:pPr>
              <w:rPr>
                <w:rFonts w:ascii="Calibri" w:hAnsi="Calibri" w:cs="Calibri"/>
              </w:rPr>
            </w:pPr>
          </w:p>
        </w:tc>
        <w:tc>
          <w:tcPr>
            <w:tcW w:w="1456" w:type="dxa"/>
            <w:vAlign w:val="center"/>
          </w:tcPr>
          <w:p w:rsidRPr="00C37D48" w:rsidR="00850F36" w:rsidP="00C37D48" w:rsidRDefault="00850F36" w14:paraId="7CB53F7B" w14:textId="77777777">
            <w:pPr>
              <w:rPr>
                <w:rFonts w:ascii="Calibri" w:hAnsi="Calibri" w:cs="Calibri"/>
              </w:rPr>
            </w:pPr>
          </w:p>
        </w:tc>
        <w:tc>
          <w:tcPr>
            <w:tcW w:w="1334" w:type="dxa"/>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306FB458" w14:textId="77777777">
            <w:pPr>
              <w:rPr>
                <w:rFonts w:ascii="Calibri" w:hAnsi="Calibri" w:cs="Calibri"/>
              </w:rPr>
            </w:pPr>
          </w:p>
        </w:tc>
        <w:tc>
          <w:tcPr>
            <w:tcW w:w="1456" w:type="dxa"/>
            <w:vAlign w:val="center"/>
          </w:tcPr>
          <w:p w:rsidRPr="00C37D48" w:rsidR="00850F36" w:rsidP="00C37D48" w:rsidRDefault="00850F36" w14:paraId="48666C62" w14:textId="77777777">
            <w:pPr>
              <w:rPr>
                <w:rFonts w:ascii="Calibri" w:hAnsi="Calibri" w:cs="Calibri"/>
              </w:rPr>
            </w:pPr>
          </w:p>
        </w:tc>
        <w:tc>
          <w:tcPr>
            <w:tcW w:w="1334" w:type="dxa"/>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7059B640" w14:textId="77777777">
            <w:pPr>
              <w:rPr>
                <w:rFonts w:ascii="Calibri" w:hAnsi="Calibri" w:cs="Calibri"/>
              </w:rPr>
            </w:pPr>
          </w:p>
        </w:tc>
        <w:tc>
          <w:tcPr>
            <w:tcW w:w="1456" w:type="dxa"/>
            <w:vAlign w:val="center"/>
          </w:tcPr>
          <w:p w:rsidRPr="00C37D48" w:rsidR="00850F36" w:rsidP="00C37D48" w:rsidRDefault="00850F36" w14:paraId="3CB19ED3" w14:textId="77777777">
            <w:pPr>
              <w:rPr>
                <w:rFonts w:ascii="Calibri" w:hAnsi="Calibri" w:cs="Calibri"/>
              </w:rPr>
            </w:pPr>
          </w:p>
        </w:tc>
        <w:tc>
          <w:tcPr>
            <w:tcW w:w="1334" w:type="dxa"/>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565FCA2B" w14:textId="77777777">
            <w:pPr>
              <w:rPr>
                <w:rFonts w:ascii="Calibri" w:hAnsi="Calibri" w:cs="Calibri"/>
              </w:rPr>
            </w:pPr>
          </w:p>
        </w:tc>
        <w:tc>
          <w:tcPr>
            <w:tcW w:w="1456" w:type="dxa"/>
            <w:vAlign w:val="center"/>
          </w:tcPr>
          <w:p w:rsidRPr="00C37D48" w:rsidR="00850F36" w:rsidP="00C37D48" w:rsidRDefault="00850F36" w14:paraId="33DBBD59" w14:textId="77777777">
            <w:pPr>
              <w:rPr>
                <w:rFonts w:ascii="Calibri" w:hAnsi="Calibri" w:cs="Calibri"/>
              </w:rPr>
            </w:pPr>
          </w:p>
        </w:tc>
        <w:tc>
          <w:tcPr>
            <w:tcW w:w="1334" w:type="dxa"/>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2C90297" w14:textId="77777777">
            <w:pPr>
              <w:rPr>
                <w:rFonts w:ascii="Calibri" w:hAnsi="Calibri" w:cs="Calibri"/>
              </w:rPr>
            </w:pPr>
          </w:p>
        </w:tc>
        <w:tc>
          <w:tcPr>
            <w:tcW w:w="1456" w:type="dxa"/>
            <w:vAlign w:val="center"/>
          </w:tcPr>
          <w:p w:rsidRPr="00C37D48" w:rsidR="00850F36" w:rsidP="00C37D48" w:rsidRDefault="00850F36" w14:paraId="3475209D" w14:textId="77777777">
            <w:pPr>
              <w:rPr>
                <w:rFonts w:ascii="Calibri" w:hAnsi="Calibri" w:cs="Calibri"/>
              </w:rPr>
            </w:pPr>
          </w:p>
        </w:tc>
        <w:tc>
          <w:tcPr>
            <w:tcW w:w="1334" w:type="dxa"/>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9AA8CB7" w14:textId="77777777">
            <w:pPr>
              <w:rPr>
                <w:rFonts w:ascii="Calibri" w:hAnsi="Calibri" w:cs="Calibri"/>
              </w:rPr>
            </w:pPr>
          </w:p>
        </w:tc>
        <w:tc>
          <w:tcPr>
            <w:tcW w:w="1456" w:type="dxa"/>
            <w:vAlign w:val="center"/>
          </w:tcPr>
          <w:p w:rsidRPr="00C37D48" w:rsidR="00850F36" w:rsidP="00C37D48" w:rsidRDefault="00850F36" w14:paraId="6EE4F476" w14:textId="77777777">
            <w:pPr>
              <w:rPr>
                <w:rFonts w:ascii="Calibri" w:hAnsi="Calibri" w:cs="Calibri"/>
              </w:rPr>
            </w:pPr>
          </w:p>
        </w:tc>
        <w:tc>
          <w:tcPr>
            <w:tcW w:w="1334" w:type="dxa"/>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9D39B1" w14:paraId="5B4FEC6B" w14:textId="3AF7396F">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9D39B1" w14:paraId="3C9FD41A" w14:textId="39632E2B">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9D39B1" w14:paraId="101E5425" w14:textId="2CEEEF1B">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9D39B1" w14:paraId="4902C0E0" w14:textId="65579D39">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9D39B1" w14:paraId="6CA5E6D4" w14:textId="6D37794F">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9D39B1" w14:paraId="4035B265" w14:textId="0435B13B">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9D39B1" w14:paraId="24A5223C" w14:textId="1ADCDCB5">
            <w:pPr>
              <w:rPr>
                <w:rFonts w:ascii="Calibri" w:hAnsi="Calibri" w:cs="Calibri"/>
              </w:rPr>
            </w:pPr>
            <w:r>
              <w:rPr>
                <w:rFonts w:ascii="Calibri" w:hAnsi="Calibri" w:cs="Calibri"/>
              </w:rPr>
              <w:t>X</w:t>
            </w: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9D39B1" w14:paraId="1BD9121A" w14:textId="260BCF0B">
            <w:pPr>
              <w:rPr>
                <w:rFonts w:ascii="Calibri" w:hAnsi="Calibri" w:cs="Calibri"/>
              </w:rPr>
            </w:pPr>
            <w:r>
              <w:rPr>
                <w:rFonts w:ascii="Calibri" w:hAnsi="Calibri" w:cs="Calibri"/>
              </w:rPr>
              <w:t>X</w:t>
            </w: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9D39B1" w14:paraId="7D2537CF" w14:textId="2E1290D2">
            <w:pPr>
              <w:rPr>
                <w:rFonts w:ascii="Calibri" w:hAnsi="Calibri" w:cs="Calibri"/>
              </w:rPr>
            </w:pPr>
            <w:r>
              <w:rPr>
                <w:rFonts w:ascii="Calibri" w:hAnsi="Calibri" w:cs="Calibri"/>
              </w:rPr>
              <w:t>X</w:t>
            </w: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9D39B1" w14:paraId="2CD4C703" w14:textId="194A8821">
            <w:pPr>
              <w:rPr>
                <w:rFonts w:ascii="Calibri" w:hAnsi="Calibri" w:cs="Calibri"/>
              </w:rPr>
            </w:pPr>
            <w:r>
              <w:rPr>
                <w:rFonts w:ascii="Calibri" w:hAnsi="Calibri" w:cs="Calibri"/>
              </w:rPr>
              <w:t>X</w:t>
            </w: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9D39B1" w14:paraId="324C4411" w14:textId="5B552A89">
            <w:pPr>
              <w:rPr>
                <w:rFonts w:ascii="Calibri" w:hAnsi="Calibri" w:cs="Calibri"/>
              </w:rPr>
            </w:pPr>
            <w:r>
              <w:rPr>
                <w:rFonts w:ascii="Calibri" w:hAnsi="Calibri" w:cs="Calibri"/>
              </w:rPr>
              <w:t>X</w:t>
            </w: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9D39B1" w14:paraId="52DD1FFC" w14:textId="1671DA7B">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9D39B1" w14:paraId="654433FC" w14:textId="28D75A74">
            <w:pPr>
              <w:rPr>
                <w:rFonts w:ascii="Calibri" w:hAnsi="Calibri" w:cs="Calibri"/>
              </w:rPr>
            </w:pPr>
            <w:r>
              <w:rPr>
                <w:rFonts w:ascii="Calibri" w:hAnsi="Calibri" w:cs="Calibri"/>
              </w:rPr>
              <w:t>X</w:t>
            </w: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AE5738" w14:paraId="2AA83DE2" w14:textId="4364EAC1">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AE5738" w14:paraId="09B0AA4F" w14:textId="118ED598">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AE5738" w14:paraId="7E60504E" w14:textId="2FA4D5C7">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AE5738" w14:paraId="3BA0C0E8" w14:textId="61A9F78D">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AE5738" w14:paraId="7A479C51" w14:textId="508AC845">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681692" w14:paraId="3C341D29" w14:textId="0B100E7B">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vAlign w:val="center"/>
          </w:tcPr>
          <w:p w:rsidRPr="00CF2E7C" w:rsidR="00DD292A" w:rsidP="00CF2E7C" w:rsidRDefault="00860D36" w14:paraId="2FAABD2D" w14:textId="250912C6">
            <w:pPr>
              <w:rPr>
                <w:rFonts w:ascii="Calibri" w:hAnsi="Calibri" w:cs="Calibri"/>
              </w:rPr>
            </w:pPr>
            <w:r w:rsidRPr="00860D36">
              <w:rPr>
                <w:rFonts w:ascii="Calibri" w:hAnsi="Calibri" w:cs="Calibri"/>
              </w:rPr>
              <w:t>Other BaFin-supervised financial institutions, e.g., financial services providers under BaFin supervision</w:t>
            </w:r>
            <w:r>
              <w:rPr>
                <w:rFonts w:ascii="Calibri" w:hAnsi="Calibri" w:cs="Calibri"/>
              </w:rPr>
              <w:t xml:space="preserve"> (Section 1.2)</w:t>
            </w:r>
            <w:r w:rsidRPr="00860D36">
              <w:rPr>
                <w:rFonts w:ascii="Calibri" w:hAnsi="Calibri" w:cs="Calibri"/>
              </w:rPr>
              <w:t>.</w:t>
            </w: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F21DCD" w14:paraId="5A59DD4C" w14:textId="3ECE9182">
            <w:pPr>
              <w:rPr>
                <w:rFonts w:ascii="Calibri" w:hAnsi="Calibri" w:cs="Calibri"/>
              </w:rPr>
            </w:pPr>
            <w:r>
              <w:rPr>
                <w:rFonts w:ascii="Calibri" w:hAnsi="Calibri" w:cs="Calibri"/>
              </w:rPr>
              <w:t>Not specified.</w:t>
            </w: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F21DCD" w14:paraId="5A15330D" w14:textId="42D435E8">
            <w:pPr>
              <w:rPr>
                <w:rFonts w:ascii="Calibri" w:hAnsi="Calibri" w:cs="Calibri"/>
              </w:rPr>
            </w:pPr>
            <w:r>
              <w:rPr>
                <w:rFonts w:ascii="Calibri" w:hAnsi="Calibri" w:cs="Calibri"/>
              </w:rPr>
              <w:t>Not specified.</w:t>
            </w: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F21DCD" w14:paraId="29FA3AF2" w14:textId="6224ED94">
            <w:pPr>
              <w:rPr>
                <w:rFonts w:ascii="Calibri" w:hAnsi="Calibri" w:cs="Calibri"/>
                <w:lang w:val="sv-SE"/>
              </w:rPr>
            </w:pPr>
            <w:r>
              <w:rPr>
                <w:rFonts w:ascii="Calibri" w:hAnsi="Calibri" w:cs="Calibri"/>
              </w:rPr>
              <w:t>Not specified.</w:t>
            </w: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F21DCD" w14:paraId="5584306A" w14:textId="3DBB40F9">
            <w:pPr>
              <w:rPr>
                <w:rFonts w:ascii="Calibri" w:hAnsi="Calibri" w:cs="Calibri"/>
              </w:rPr>
            </w:pPr>
            <w:r>
              <w:rPr>
                <w:rFonts w:ascii="Calibri" w:hAnsi="Calibri" w:cs="Calibri"/>
              </w:rPr>
              <w:t>Not specified.</w:t>
            </w: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444C2C" w14:paraId="4F82F25F" w14:textId="47D3E950">
            <w:pPr>
              <w:rPr>
                <w:rFonts w:ascii="Calibri" w:hAnsi="Calibri" w:cs="Calibri"/>
              </w:rPr>
            </w:pPr>
            <w:r w:rsidRPr="00444C2C">
              <w:rPr>
                <w:rFonts w:ascii="Calibri" w:hAnsi="Calibri" w:cs="Calibri"/>
              </w:rPr>
              <w:t>Mandatory if supervised by BaFin and headquartered or operating in Germany</w:t>
            </w:r>
            <w:r>
              <w:rPr>
                <w:rFonts w:ascii="Calibri" w:hAnsi="Calibri" w:cs="Calibri"/>
              </w:rPr>
              <w:t>.</w:t>
            </w: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3668D1" w14:paraId="00B7C4FE" w14:textId="62D51218">
            <w:pPr>
              <w:rPr>
                <w:rFonts w:ascii="Calibri" w:hAnsi="Calibri" w:cs="Calibri"/>
              </w:rPr>
            </w:pPr>
            <w:r w:rsidRPr="003668D1">
              <w:rPr>
                <w:rFonts w:ascii="Calibri" w:hAnsi="Calibri" w:cs="Calibri"/>
              </w:rPr>
              <w:t>Proportionality principle applies; scope depends on size and risk profile</w:t>
            </w:r>
            <w:r>
              <w:rPr>
                <w:rFonts w:ascii="Calibri" w:hAnsi="Calibri" w:cs="Calibri"/>
              </w:rPr>
              <w:t>.</w:t>
            </w: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D55F23" w14:paraId="66471C49" w14:textId="73401643">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237417" w14:paraId="45AD46EE" w14:textId="23AA79D1">
            <w:pPr>
              <w:rPr>
                <w:rFonts w:ascii="Calibri" w:hAnsi="Calibri" w:cs="Calibri"/>
              </w:rPr>
            </w:pPr>
            <w:r>
              <w:rPr>
                <w:rFonts w:ascii="Calibri" w:hAnsi="Calibri" w:cs="Calibri"/>
              </w:rPr>
              <w:t>X</w:t>
            </w: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067883" w14:paraId="6564D4C5" w14:textId="0CCF55E5">
            <w:pPr>
              <w:rPr>
                <w:rFonts w:ascii="Calibri" w:hAnsi="Calibri" w:cs="Calibri"/>
              </w:rPr>
            </w:pPr>
            <w:r>
              <w:rPr>
                <w:rFonts w:ascii="Calibri" w:hAnsi="Calibri" w:cs="Calibri"/>
              </w:rPr>
              <w:t>X</w:t>
            </w: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vAlign w:val="center"/>
          </w:tcPr>
          <w:p w:rsidRPr="00CF2E7C" w:rsidR="00DD3B33" w:rsidP="00CF2E7C" w:rsidRDefault="00067883" w14:paraId="6BF4AF82" w14:textId="200B30C2">
            <w:pPr>
              <w:rPr>
                <w:rFonts w:ascii="Calibri" w:hAnsi="Calibri" w:cs="Calibri"/>
              </w:rPr>
            </w:pPr>
            <w:r w:rsidRPr="00067883">
              <w:rPr>
                <w:rFonts w:ascii="Calibri" w:hAnsi="Calibri" w:cs="Calibri"/>
              </w:rPr>
              <w:t>The Guidance does not itself specify sanctions.</w:t>
            </w:r>
            <w:r w:rsidR="00CF37CA">
              <w:rPr>
                <w:rFonts w:ascii="Calibri" w:hAnsi="Calibri" w:cs="Calibri"/>
              </w:rPr>
              <w:t xml:space="preserve"> </w:t>
            </w:r>
            <w:r w:rsidRPr="00CF37CA" w:rsidR="00CF37CA">
              <w:rPr>
                <w:rFonts w:ascii="Calibri" w:hAnsi="Calibri" w:cs="Calibri"/>
              </w:rPr>
              <w:t>Sanctions arise from the binding prudential laws enforced by BaFin, for which the Guidance sets out supervisory expectations.</w:t>
            </w:r>
            <w:r w:rsidR="00CF37CA">
              <w:rPr>
                <w:rFonts w:ascii="Calibri" w:hAnsi="Calibri" w:cs="Calibri"/>
              </w:rPr>
              <w:t xml:space="preserve"> </w:t>
            </w:r>
            <w:r w:rsidRPr="00CF37CA" w:rsidR="00CF37CA">
              <w:rPr>
                <w:rFonts w:ascii="Calibri" w:hAnsi="Calibri" w:cs="Calibri"/>
              </w:rPr>
              <w:t>In practice, non-compliance with the Guidance can lead to sanctions via enforcement of these laws, but these sanctions are not detailed in the Guidance text.</w:t>
            </w: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57A30" w14:paraId="21829B53" w14:textId="7EB00E7F">
            <w:pPr>
              <w:rPr>
                <w:rFonts w:ascii="Calibri" w:hAnsi="Calibri" w:cs="Calibri"/>
              </w:rPr>
            </w:pPr>
            <w:r>
              <w:rPr>
                <w:rFonts w:ascii="Calibri" w:hAnsi="Calibri" w:cs="Calibri"/>
              </w:rPr>
              <w:t>X</w:t>
            </w: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6409BBE0" w14:textId="0C9657B9">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vAlign w:val="center"/>
          </w:tcPr>
          <w:p w:rsidRPr="00CF2E7C" w:rsidR="00DD292A" w:rsidP="00F9289C" w:rsidRDefault="00DD292A" w14:paraId="496F7156" w14:textId="68C5F008">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0E2E33" w14:paraId="62ADDDD1" w14:textId="0E562CBD">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90623B" w14:paraId="19ECDEDB" w14:textId="6A9953A8">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575426" w14:paraId="704C027B" w14:textId="705A00C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575426" w14:paraId="59711E64" w14:textId="47DC0AE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B0D08" w14:paraId="0AE0D8D1" w14:textId="0C652D9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B0D08" w14:paraId="08C74092" w14:textId="2091986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B0D08" w14:paraId="0A35B604" w14:textId="0C90458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B0D08" w14:paraId="713DD0D8" w14:textId="15C899B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C05379" w14:paraId="6417835F" w14:textId="1B61F9C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C05379" w14:paraId="524BFEA7" w14:textId="18B6E95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C05379" w14:paraId="769FA956" w14:textId="3C23212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008C4722" w:rsidP="00B542B1" w:rsidRDefault="00B542B1" w14:paraId="5DD5B63C" w14:textId="6ABD05BE">
            <w:pPr>
              <w:textAlignment w:val="baseline"/>
              <w:rPr>
                <w:rFonts w:ascii="Calibri" w:hAnsi="Calibri" w:eastAsia="Times New Roman" w:cs="Calibri"/>
                <w:kern w:val="0"/>
                <w:lang w:eastAsia="en-GB"/>
                <w14:ligatures w14:val="none"/>
              </w:rPr>
            </w:pPr>
            <w:r w:rsidRPr="00B542B1">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B542B1">
              <w:rPr>
                <w:rFonts w:ascii="Calibri" w:hAnsi="Calibri" w:eastAsia="Times New Roman" w:cs="Calibri"/>
                <w:kern w:val="0"/>
                <w:lang w:eastAsia="en-GB"/>
                <w14:ligatures w14:val="none"/>
              </w:rPr>
              <w:t>Climate-related risks are not treated as standalone risk categories but as drivers that materially impact existing risks such as credit risk, market risk, operational risk and reputational risk. Institutions are expected to identify and assess how these climate-related risks affect their overall risk profile</w:t>
            </w:r>
            <w:r>
              <w:rPr>
                <w:rFonts w:ascii="Calibri" w:hAnsi="Calibri" w:eastAsia="Times New Roman" w:cs="Calibri"/>
                <w:kern w:val="0"/>
                <w:lang w:eastAsia="en-GB"/>
                <w14:ligatures w14:val="none"/>
              </w:rPr>
              <w:t xml:space="preserve"> (Section 2.1).</w:t>
            </w:r>
          </w:p>
          <w:p w:rsidR="00250626" w:rsidP="00B542B1" w:rsidRDefault="00250626" w14:paraId="3CD53572" w14:textId="1F68AAF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250626">
              <w:rPr>
                <w:rFonts w:ascii="Calibri" w:hAnsi="Calibri" w:eastAsia="Times New Roman" w:cs="Calibri"/>
                <w:kern w:val="0"/>
                <w:lang w:eastAsia="en-GB"/>
                <w14:ligatures w14:val="none"/>
              </w:rPr>
              <w:t>Institutions must integrate sustainability risks, including climate-related risks, into their risk strategy, risk-bearing capacity calculations</w:t>
            </w:r>
            <w:r>
              <w:rPr>
                <w:rFonts w:ascii="Calibri" w:hAnsi="Calibri" w:eastAsia="Times New Roman" w:cs="Calibri"/>
                <w:kern w:val="0"/>
                <w:lang w:eastAsia="en-GB"/>
                <w14:ligatures w14:val="none"/>
              </w:rPr>
              <w:t xml:space="preserve"> </w:t>
            </w:r>
            <w:r w:rsidRPr="00250626">
              <w:rPr>
                <w:rFonts w:ascii="Calibri" w:hAnsi="Calibri" w:eastAsia="Times New Roman" w:cs="Calibri"/>
                <w:kern w:val="0"/>
                <w:lang w:eastAsia="en-GB"/>
                <w14:ligatures w14:val="none"/>
              </w:rPr>
              <w:t>and internal control systems to ensure comprehensive management</w:t>
            </w:r>
            <w:r>
              <w:rPr>
                <w:rFonts w:ascii="Calibri" w:hAnsi="Calibri" w:eastAsia="Times New Roman" w:cs="Calibri"/>
                <w:kern w:val="0"/>
                <w:lang w:eastAsia="en-GB"/>
                <w14:ligatures w14:val="none"/>
              </w:rPr>
              <w:t xml:space="preserve"> (Section 2.2)</w:t>
            </w:r>
            <w:r w:rsidRPr="00250626">
              <w:rPr>
                <w:rFonts w:ascii="Calibri" w:hAnsi="Calibri" w:eastAsia="Times New Roman" w:cs="Calibri"/>
                <w:kern w:val="0"/>
                <w:lang w:eastAsia="en-GB"/>
                <w14:ligatures w14:val="none"/>
              </w:rPr>
              <w:t>.</w:t>
            </w:r>
          </w:p>
          <w:p w:rsidR="00250626" w:rsidP="00B542B1" w:rsidRDefault="00250626" w14:paraId="0613B96F" w14:textId="04C84EB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250626">
              <w:rPr>
                <w:rFonts w:ascii="Calibri" w:hAnsi="Calibri" w:eastAsia="Times New Roman" w:cs="Calibri"/>
                <w:kern w:val="0"/>
                <w:lang w:eastAsia="en-GB"/>
                <w14:ligatures w14:val="none"/>
              </w:rPr>
              <w:t>The Guidance requires the use of forward-looking scenario analyses and stress testing to evaluate the potential impact of climate risks on the institution’s capital and liquidity positions under varying conditions</w:t>
            </w:r>
            <w:r>
              <w:rPr>
                <w:rFonts w:ascii="Calibri" w:hAnsi="Calibri" w:eastAsia="Times New Roman" w:cs="Calibri"/>
                <w:kern w:val="0"/>
                <w:lang w:eastAsia="en-GB"/>
                <w14:ligatures w14:val="none"/>
              </w:rPr>
              <w:t xml:space="preserve"> (Sections 5 and 6).</w:t>
            </w:r>
          </w:p>
          <w:p w:rsidR="00250626" w:rsidP="00B542B1" w:rsidRDefault="002D2B2C" w14:paraId="4148948A" w14:textId="4FC502E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2D2B2C">
              <w:rPr>
                <w:rFonts w:ascii="Calibri" w:hAnsi="Calibri" w:eastAsia="Times New Roman" w:cs="Calibri"/>
                <w:kern w:val="0"/>
                <w:lang w:eastAsia="en-GB"/>
                <w14:ligatures w14:val="none"/>
              </w:rPr>
              <w:t>Effective internal governance structures should oversee the identification, assessment and management of climate risks, and institutions must ensure transparent external communication regarding their sustainability risk exposure</w:t>
            </w:r>
            <w:r>
              <w:rPr>
                <w:rFonts w:ascii="Calibri" w:hAnsi="Calibri" w:eastAsia="Times New Roman" w:cs="Calibri"/>
                <w:kern w:val="0"/>
                <w:lang w:eastAsia="en-GB"/>
                <w14:ligatures w14:val="none"/>
              </w:rPr>
              <w:t xml:space="preserve"> (Sections 3 and 7)</w:t>
            </w:r>
            <w:r w:rsidRPr="002D2B2C">
              <w:rPr>
                <w:rFonts w:ascii="Calibri" w:hAnsi="Calibri" w:eastAsia="Times New Roman" w:cs="Calibri"/>
                <w:kern w:val="0"/>
                <w:lang w:eastAsia="en-GB"/>
                <w14:ligatures w14:val="none"/>
              </w:rPr>
              <w:t>.</w:t>
            </w:r>
          </w:p>
          <w:p w:rsidRPr="00B542B1" w:rsidR="00B542B1" w:rsidP="00B542B1" w:rsidRDefault="00B542B1" w14:paraId="39FC6AFA" w14:textId="51E7D15F">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F10D5" w14:paraId="093659D4" w14:textId="7C1252F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4E6376" w14:paraId="59599188" w14:textId="7D144A4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F32100" w14:paraId="12FADFAD" w14:textId="40501C0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00BE13D7" w:rsidP="00CF2E7C" w:rsidRDefault="00BE13D7" w14:paraId="45BAF09C" w14:textId="77777777">
            <w:pPr>
              <w:textAlignment w:val="baseline"/>
              <w:rPr>
                <w:rFonts w:ascii="Calibri" w:hAnsi="Calibri" w:eastAsia="Times New Roman" w:cs="Calibri"/>
                <w:kern w:val="0"/>
                <w:lang w:eastAsia="en-GB"/>
                <w14:ligatures w14:val="none"/>
              </w:rPr>
            </w:pPr>
            <w:r w:rsidRPr="00BE13D7">
              <w:rPr>
                <w:rFonts w:ascii="Calibri" w:hAnsi="Calibri" w:eastAsia="Times New Roman" w:cs="Calibri"/>
                <w:kern w:val="0"/>
                <w:lang w:eastAsia="en-GB"/>
                <w14:ligatures w14:val="none"/>
              </w:rPr>
              <w:t xml:space="preserve">BaFin assesses whether institutions integrate sustainability risks into their risk management and internal controls (Section 1.2). </w:t>
            </w:r>
          </w:p>
          <w:p w:rsidRPr="00CF2E7C" w:rsidR="00ED7E12" w:rsidP="00CF2E7C" w:rsidRDefault="00BE13D7" w14:paraId="42FF8A1B" w14:textId="08A89078">
            <w:pPr>
              <w:textAlignment w:val="baseline"/>
              <w:rPr>
                <w:rFonts w:ascii="Calibri" w:hAnsi="Calibri" w:eastAsia="Times New Roman" w:cs="Calibri"/>
                <w:kern w:val="0"/>
                <w:lang w:eastAsia="en-GB"/>
                <w14:ligatures w14:val="none"/>
              </w:rPr>
            </w:pPr>
            <w:r w:rsidRPr="00BE13D7">
              <w:rPr>
                <w:rFonts w:ascii="Calibri" w:hAnsi="Calibri" w:eastAsia="Times New Roman" w:cs="Calibri"/>
                <w:kern w:val="0"/>
                <w:lang w:eastAsia="en-GB"/>
                <w14:ligatures w14:val="none"/>
              </w:rPr>
              <w:t>Verification occurs via risk-based supervisory activities such as inspections and surveys, expecting transparency from institutions (Section 7).</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1B98BD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4C73B1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0D7AD2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3BEC94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DF8002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2E2B8F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D217F5">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1A368C" w14:paraId="77122C14" w14:textId="56804CE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00C82860" w:rsidP="00ED3549" w:rsidRDefault="00ED3549" w14:paraId="425E6C1D" w14:textId="77777777">
            <w:pPr>
              <w:textAlignment w:val="baseline"/>
              <w:rPr>
                <w:rFonts w:ascii="Calibri" w:hAnsi="Calibri" w:eastAsia="Times New Roman" w:cs="Calibri"/>
                <w:kern w:val="0"/>
                <w:lang w:eastAsia="en-GB"/>
                <w14:ligatures w14:val="none"/>
              </w:rPr>
            </w:pPr>
            <w:r w:rsidRPr="00ED3549">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2F0AEE" w:rsidR="002F0AEE">
              <w:rPr>
                <w:rFonts w:ascii="Calibri" w:hAnsi="Calibri" w:eastAsia="Times New Roman" w:cs="Calibri"/>
                <w:kern w:val="0"/>
                <w:lang w:eastAsia="en-GB"/>
                <w14:ligatures w14:val="none"/>
              </w:rPr>
              <w:t>Institutions should ensure transparent information on how they handle sustainability risks, including climate risks, to enhance market and supervisory transparency</w:t>
            </w:r>
            <w:r w:rsidR="002F0AEE">
              <w:rPr>
                <w:rFonts w:ascii="Calibri" w:hAnsi="Calibri" w:eastAsia="Times New Roman" w:cs="Calibri"/>
                <w:kern w:val="0"/>
                <w:lang w:eastAsia="en-GB"/>
                <w14:ligatures w14:val="none"/>
              </w:rPr>
              <w:t xml:space="preserve"> (Section 7)</w:t>
            </w:r>
            <w:r w:rsidRPr="002F0AEE" w:rsidR="002F0AEE">
              <w:rPr>
                <w:rFonts w:ascii="Calibri" w:hAnsi="Calibri" w:eastAsia="Times New Roman" w:cs="Calibri"/>
                <w:kern w:val="0"/>
                <w:lang w:eastAsia="en-GB"/>
                <w14:ligatures w14:val="none"/>
              </w:rPr>
              <w:t>.</w:t>
            </w:r>
          </w:p>
          <w:p w:rsidR="002F0AEE" w:rsidP="00ED3549" w:rsidRDefault="002F0AEE" w14:paraId="26943C34" w14:textId="57FE9AB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AD2251" w:rsidR="00AD2251">
              <w:rPr>
                <w:rFonts w:ascii="Calibri" w:hAnsi="Calibri" w:eastAsia="Times New Roman" w:cs="Calibri"/>
                <w:kern w:val="0"/>
                <w:lang w:eastAsia="en-GB"/>
                <w14:ligatures w14:val="none"/>
              </w:rPr>
              <w:t>The extent and detail of disclosures should be proportionate to the size, complexity and risk profile of the institution</w:t>
            </w:r>
            <w:r w:rsidR="00AD2251">
              <w:rPr>
                <w:rFonts w:ascii="Calibri" w:hAnsi="Calibri" w:eastAsia="Times New Roman" w:cs="Calibri"/>
                <w:kern w:val="0"/>
                <w:lang w:eastAsia="en-GB"/>
                <w14:ligatures w14:val="none"/>
              </w:rPr>
              <w:t xml:space="preserve"> (Section 7)</w:t>
            </w:r>
            <w:r w:rsidRPr="00AD2251" w:rsidR="00AD2251">
              <w:rPr>
                <w:rFonts w:ascii="Calibri" w:hAnsi="Calibri" w:eastAsia="Times New Roman" w:cs="Calibri"/>
                <w:kern w:val="0"/>
                <w:lang w:eastAsia="en-GB"/>
                <w14:ligatures w14:val="none"/>
              </w:rPr>
              <w:t>.</w:t>
            </w:r>
          </w:p>
          <w:p w:rsidRPr="00ED3549" w:rsidR="00AD2251" w:rsidP="008020D7" w:rsidRDefault="008020D7" w14:paraId="4DEB14D8" w14:textId="3AA809E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8020D7">
              <w:rPr>
                <w:rFonts w:ascii="Calibri" w:hAnsi="Calibri" w:eastAsia="Times New Roman" w:cs="Calibri"/>
                <w:kern w:val="0"/>
                <w:lang w:eastAsia="en-GB"/>
                <w14:ligatures w14:val="none"/>
              </w:rPr>
              <w:t>The Guidance does not contain binding disclosure requirements or specify exact content or formats, leaving detailed obligations to later regulatory frameworks</w:t>
            </w:r>
            <w:r>
              <w:rPr>
                <w:rFonts w:ascii="Calibri" w:hAnsi="Calibri" w:eastAsia="Times New Roman" w:cs="Calibri"/>
                <w:kern w:val="0"/>
                <w:lang w:eastAsia="en-GB"/>
                <w14:ligatures w14:val="none"/>
              </w:rPr>
              <w:t xml:space="preserve"> </w:t>
            </w:r>
            <w:r w:rsidRPr="008020D7">
              <w:rPr>
                <w:rFonts w:ascii="Calibri" w:hAnsi="Calibri" w:eastAsia="Times New Roman" w:cs="Calibri"/>
                <w:kern w:val="0"/>
                <w:lang w:eastAsia="en-GB"/>
                <w14:ligatures w14:val="none"/>
              </w:rPr>
              <w:t>(Section 7</w:t>
            </w:r>
            <w:r>
              <w:rPr>
                <w:rFonts w:ascii="Calibri" w:hAnsi="Calibri" w:eastAsia="Times New Roman" w:cs="Calibri"/>
                <w:kern w:val="0"/>
                <w:lang w:eastAsia="en-GB"/>
                <w14:ligatures w14:val="none"/>
              </w:rPr>
              <w:t>)</w:t>
            </w:r>
            <w:r w:rsidR="00187783">
              <w:rPr>
                <w:rFonts w:ascii="Calibri" w:hAnsi="Calibri" w:eastAsia="Times New Roman" w:cs="Calibri"/>
                <w:kern w:val="0"/>
                <w:lang w:eastAsia="en-GB"/>
                <w14:ligatures w14:val="none"/>
              </w:rPr>
              <w:t>.</w:t>
            </w: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0A43FC" w14:paraId="6B30C50C" w14:textId="5287904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00C82860" w:rsidP="007E0ABD" w:rsidRDefault="007E0ABD" w14:paraId="1805D2E8" w14:textId="77777777">
            <w:pPr>
              <w:textAlignment w:val="baseline"/>
              <w:rPr>
                <w:rFonts w:ascii="Calibri" w:hAnsi="Calibri" w:eastAsia="Times New Roman" w:cs="Calibri"/>
                <w:kern w:val="0"/>
                <w:lang w:eastAsia="en-GB"/>
                <w14:ligatures w14:val="none"/>
              </w:rPr>
            </w:pPr>
            <w:r w:rsidRPr="007E0ABD">
              <w:rPr>
                <w:rFonts w:ascii="Calibri" w:hAnsi="Calibri" w:eastAsia="Times New Roman" w:cs="Calibri"/>
                <w:kern w:val="0"/>
                <w:lang w:eastAsia="en-GB"/>
                <w14:ligatures w14:val="none"/>
              </w:rPr>
              <w:t>The Guidance expects institutions to embed sustainability risks systematically into their overall risk-bearing capacity concepts and risk strategies, ensuring that all new business, including client onboarding and transactions</w:t>
            </w:r>
            <w:r w:rsidR="00C06476">
              <w:rPr>
                <w:rFonts w:ascii="Calibri" w:hAnsi="Calibri" w:eastAsia="Times New Roman" w:cs="Calibri"/>
                <w:kern w:val="0"/>
                <w:lang w:eastAsia="en-GB"/>
                <w14:ligatures w14:val="none"/>
              </w:rPr>
              <w:t>,</w:t>
            </w:r>
            <w:r w:rsidRPr="007E0ABD">
              <w:rPr>
                <w:rFonts w:ascii="Calibri" w:hAnsi="Calibri" w:eastAsia="Times New Roman" w:cs="Calibri"/>
                <w:kern w:val="0"/>
                <w:lang w:eastAsia="en-GB"/>
                <w14:ligatures w14:val="none"/>
              </w:rPr>
              <w:t xml:space="preserve"> are assessed considering these risks</w:t>
            </w:r>
            <w:r>
              <w:rPr>
                <w:rFonts w:ascii="Calibri" w:hAnsi="Calibri" w:eastAsia="Times New Roman" w:cs="Calibri"/>
                <w:kern w:val="0"/>
                <w:lang w:eastAsia="en-GB"/>
                <w14:ligatures w14:val="none"/>
              </w:rPr>
              <w:t xml:space="preserve"> </w:t>
            </w:r>
            <w:r w:rsidRPr="007E0ABD">
              <w:rPr>
                <w:rFonts w:ascii="Calibri" w:hAnsi="Calibri" w:eastAsia="Times New Roman" w:cs="Calibri"/>
                <w:kern w:val="0"/>
                <w:lang w:eastAsia="en-GB"/>
                <w14:ligatures w14:val="none"/>
              </w:rPr>
              <w:t>(Section 2.2</w:t>
            </w:r>
            <w:r>
              <w:rPr>
                <w:rFonts w:ascii="Calibri" w:hAnsi="Calibri" w:eastAsia="Times New Roman" w:cs="Calibri"/>
                <w:kern w:val="0"/>
                <w:lang w:eastAsia="en-GB"/>
                <w14:ligatures w14:val="none"/>
              </w:rPr>
              <w:t>).</w:t>
            </w:r>
          </w:p>
          <w:p w:rsidRPr="00CF2E7C" w:rsidR="00CA27C6" w:rsidP="007E0ABD" w:rsidRDefault="00275A30" w14:paraId="5464A3A5" w14:textId="45326747">
            <w:pPr>
              <w:textAlignment w:val="baseline"/>
              <w:rPr>
                <w:rFonts w:ascii="Calibri" w:hAnsi="Calibri" w:eastAsia="Times New Roman" w:cs="Calibri"/>
                <w:kern w:val="0"/>
                <w:lang w:eastAsia="en-GB"/>
                <w14:ligatures w14:val="none"/>
              </w:rPr>
            </w:pPr>
            <w:r w:rsidRPr="00275A30">
              <w:rPr>
                <w:rFonts w:ascii="Calibri" w:hAnsi="Calibri" w:eastAsia="Times New Roman" w:cs="Calibri"/>
                <w:kern w:val="0"/>
                <w:lang w:eastAsia="en-GB"/>
                <w14:ligatures w14:val="none"/>
              </w:rPr>
              <w:t>Within risk management frameworks, counterparty and client risk assessments should include consideration of sustainability factors, reflecting how these risks impact creditworthiness and operational risks</w:t>
            </w:r>
            <w:r>
              <w:rPr>
                <w:rFonts w:ascii="Calibri" w:hAnsi="Calibri" w:eastAsia="Times New Roman" w:cs="Calibri"/>
                <w:kern w:val="0"/>
                <w:lang w:eastAsia="en-GB"/>
                <w14:ligatures w14:val="none"/>
              </w:rPr>
              <w:t xml:space="preserve"> (Section 4)</w:t>
            </w:r>
            <w:r w:rsidRPr="00275A30">
              <w:rPr>
                <w:rFonts w:ascii="Calibri" w:hAnsi="Calibri" w:eastAsia="Times New Roman" w:cs="Calibri"/>
                <w:kern w:val="0"/>
                <w:lang w:eastAsia="en-GB"/>
                <w14:ligatures w14:val="none"/>
              </w:rPr>
              <w:t>.</w:t>
            </w: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0B61C2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056DB8">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4E1CE3" w14:paraId="135769A7" w14:textId="6F33E34C">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SG" w:eastAsia="en-GB"/>
                <w14:ligatures w14:val="none"/>
              </w:rPr>
              <w:t>X</w:t>
            </w:r>
            <w:r w:rsidRPr="00CF2E7C" w:rsidR="00C82860">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34A3BC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E1CE3">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089622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E1CE3">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4E1CE3" w14:paraId="681FC1F1" w14:textId="02C12994">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SG" w:eastAsia="en-GB"/>
                <w14:ligatures w14:val="none"/>
              </w:rPr>
              <w:t>X</w:t>
            </w:r>
            <w:r w:rsidRPr="00CF2E7C" w:rsidR="00C82860">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004A7004" w:rsidP="00CF2E7C" w:rsidRDefault="00BC7643" w14:paraId="0C7107C3" w14:textId="2B94C59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Institutions</w:t>
            </w:r>
            <w:r w:rsidRPr="00A47AD0" w:rsidR="00A47AD0">
              <w:rPr>
                <w:rFonts w:ascii="Calibri" w:hAnsi="Calibri" w:eastAsia="Times New Roman" w:cs="Calibri"/>
                <w:kern w:val="0"/>
                <w:lang w:eastAsia="en-GB"/>
                <w14:ligatures w14:val="none"/>
              </w:rPr>
              <w:t xml:space="preserve"> are encouraged to </w:t>
            </w:r>
            <w:r w:rsidRPr="00A47AD0" w:rsidR="00BA75F3">
              <w:rPr>
                <w:rFonts w:ascii="Calibri" w:hAnsi="Calibri" w:eastAsia="Times New Roman" w:cs="Calibri"/>
                <w:kern w:val="0"/>
                <w:lang w:eastAsia="en-GB"/>
                <w14:ligatures w14:val="none"/>
              </w:rPr>
              <w:t>analyse</w:t>
            </w:r>
            <w:r w:rsidRPr="00A47AD0" w:rsidR="00A47AD0">
              <w:rPr>
                <w:rFonts w:ascii="Calibri" w:hAnsi="Calibri" w:eastAsia="Times New Roman" w:cs="Calibri"/>
                <w:kern w:val="0"/>
                <w:lang w:eastAsia="en-GB"/>
                <w14:ligatures w14:val="none"/>
              </w:rPr>
              <w:t xml:space="preserve"> their exposures by economic sector and geographical region to identify concentrations vulnerable to sustainability risks.</w:t>
            </w:r>
            <w:r w:rsidR="004A7004">
              <w:rPr>
                <w:rFonts w:ascii="Calibri" w:hAnsi="Calibri" w:eastAsia="Times New Roman" w:cs="Calibri"/>
                <w:kern w:val="0"/>
                <w:lang w:eastAsia="en-GB"/>
                <w14:ligatures w14:val="none"/>
              </w:rPr>
              <w:t xml:space="preserve"> </w:t>
            </w:r>
            <w:r w:rsidRPr="004A7004" w:rsidR="004A7004">
              <w:rPr>
                <w:rFonts w:ascii="Calibri" w:hAnsi="Calibri" w:eastAsia="Times New Roman" w:cs="Calibri"/>
                <w:kern w:val="0"/>
                <w:lang w:eastAsia="en-GB"/>
                <w14:ligatures w14:val="none"/>
              </w:rPr>
              <w:t>While the Guidance does not prescribe specific metric standards or methodologies, it expects institutions to adopt tools suited to their risk profile and business model</w:t>
            </w:r>
            <w:r w:rsidR="004A7004">
              <w:rPr>
                <w:rFonts w:ascii="Calibri" w:hAnsi="Calibri" w:eastAsia="Times New Roman" w:cs="Calibri"/>
                <w:kern w:val="0"/>
                <w:lang w:eastAsia="en-GB"/>
                <w14:ligatures w14:val="none"/>
              </w:rPr>
              <w:t xml:space="preserve"> (</w:t>
            </w:r>
            <w:r w:rsidR="00BA75F3">
              <w:rPr>
                <w:rFonts w:ascii="Calibri" w:hAnsi="Calibri" w:eastAsia="Times New Roman" w:cs="Calibri"/>
                <w:kern w:val="0"/>
                <w:lang w:eastAsia="en-GB"/>
                <w14:ligatures w14:val="none"/>
              </w:rPr>
              <w:t>Section 4</w:t>
            </w:r>
            <w:r w:rsidR="004A7004">
              <w:rPr>
                <w:rFonts w:ascii="Calibri" w:hAnsi="Calibri" w:eastAsia="Times New Roman" w:cs="Calibri"/>
                <w:kern w:val="0"/>
                <w:lang w:eastAsia="en-GB"/>
                <w14:ligatures w14:val="none"/>
              </w:rPr>
              <w:t>).</w:t>
            </w:r>
          </w:p>
          <w:p w:rsidRPr="00CF2E7C" w:rsidR="00BA75F3" w:rsidP="00CF2E7C" w:rsidRDefault="00BA75F3" w14:paraId="593BA361" w14:textId="6919488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Furthermore, </w:t>
            </w:r>
            <w:r w:rsidRPr="00BA75F3">
              <w:rPr>
                <w:rFonts w:ascii="Calibri" w:hAnsi="Calibri" w:eastAsia="Times New Roman" w:cs="Calibri"/>
                <w:kern w:val="0"/>
                <w:lang w:eastAsia="en-GB"/>
                <w14:ligatures w14:val="none"/>
              </w:rPr>
              <w:t>Sections 5 and 6 emphasize the role of these metrics in scenario analysis and stress testing to assess the potential impact of physical and transition risks on portfolios.</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lastRenderedPageBreak/>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F369BA" w14:paraId="3A38CC6F" w14:textId="07D6C83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E4C44" w14:paraId="28BD25CF" w14:textId="05D3FB9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7456D0" w14:paraId="7575BB6B" w14:textId="6B82702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102A9F" w14:paraId="2604891D" w14:textId="73CCF15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00BE1F9E" w:rsidP="00CF2E7C" w:rsidRDefault="00844BED" w14:paraId="2C999FBC" w14:textId="7FB4655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rsidRPr="00844BED">
              <w:rPr>
                <w:rFonts w:ascii="Calibri" w:hAnsi="Calibri" w:eastAsia="Times New Roman" w:cs="Calibri"/>
                <w:kern w:val="0"/>
                <w:lang w:eastAsia="en-GB"/>
                <w14:ligatures w14:val="none"/>
              </w:rPr>
              <w:t>he process of selecting scenarios for stress-testing or scenario analysis is an internal, risk-based exercise tailored to each institution’s profile</w:t>
            </w:r>
            <w:r w:rsidR="003876EE">
              <w:rPr>
                <w:rFonts w:ascii="Calibri" w:hAnsi="Calibri" w:eastAsia="Times New Roman" w:cs="Calibri"/>
                <w:kern w:val="0"/>
                <w:lang w:eastAsia="en-GB"/>
                <w14:ligatures w14:val="none"/>
              </w:rPr>
              <w:t xml:space="preserve"> (Section 5)</w:t>
            </w:r>
            <w:r w:rsidRPr="00844BED">
              <w:rPr>
                <w:rFonts w:ascii="Calibri" w:hAnsi="Calibri" w:eastAsia="Times New Roman" w:cs="Calibri"/>
                <w:kern w:val="0"/>
                <w:lang w:eastAsia="en-GB"/>
                <w14:ligatures w14:val="none"/>
              </w:rPr>
              <w:t>.</w:t>
            </w:r>
          </w:p>
          <w:p w:rsidR="00957FB1" w:rsidP="00CF2E7C" w:rsidRDefault="00957FB1" w14:paraId="3C458885" w14:textId="04FF6AC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I</w:t>
            </w:r>
            <w:r w:rsidRPr="00957FB1">
              <w:rPr>
                <w:rFonts w:ascii="Calibri" w:hAnsi="Calibri" w:eastAsia="Times New Roman" w:cs="Calibri"/>
                <w:kern w:val="0"/>
                <w:lang w:eastAsia="en-GB"/>
                <w14:ligatures w14:val="none"/>
              </w:rPr>
              <w:t>nstitutions</w:t>
            </w:r>
            <w:r w:rsidRPr="00957FB1">
              <w:rPr>
                <w:rFonts w:ascii="Calibri" w:hAnsi="Calibri" w:eastAsia="Times New Roman" w:cs="Calibri"/>
                <w:kern w:val="0"/>
                <w:lang w:eastAsia="en-GB"/>
                <w14:ligatures w14:val="none"/>
              </w:rPr>
              <w:t xml:space="preserve"> are expected to develop scenario analyses and stress tests reflecting their specific risk exposures, business models</w:t>
            </w:r>
            <w:r w:rsidR="003876EE">
              <w:rPr>
                <w:rFonts w:ascii="Calibri" w:hAnsi="Calibri" w:eastAsia="Times New Roman" w:cs="Calibri"/>
                <w:kern w:val="0"/>
                <w:lang w:eastAsia="en-GB"/>
                <w14:ligatures w14:val="none"/>
              </w:rPr>
              <w:t xml:space="preserve"> </w:t>
            </w:r>
            <w:r w:rsidRPr="00957FB1">
              <w:rPr>
                <w:rFonts w:ascii="Calibri" w:hAnsi="Calibri" w:eastAsia="Times New Roman" w:cs="Calibri"/>
                <w:kern w:val="0"/>
                <w:lang w:eastAsia="en-GB"/>
                <w14:ligatures w14:val="none"/>
              </w:rPr>
              <w:t>and strategic objectives, ensuring coverage of material physical and transition risks relevant to their operations</w:t>
            </w:r>
            <w:r>
              <w:rPr>
                <w:rFonts w:ascii="Calibri" w:hAnsi="Calibri" w:eastAsia="Times New Roman" w:cs="Calibri"/>
                <w:kern w:val="0"/>
                <w:lang w:eastAsia="en-GB"/>
                <w14:ligatures w14:val="none"/>
              </w:rPr>
              <w:t>.</w:t>
            </w:r>
          </w:p>
          <w:p w:rsidR="00187D7F" w:rsidP="00CF2E7C" w:rsidRDefault="002A5920" w14:paraId="578BA514" w14:textId="3678F58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Furthermore, s</w:t>
            </w:r>
            <w:r w:rsidRPr="00187D7F" w:rsidR="00187D7F">
              <w:rPr>
                <w:rFonts w:ascii="Calibri" w:hAnsi="Calibri" w:eastAsia="Times New Roman" w:cs="Calibri"/>
                <w:kern w:val="0"/>
                <w:lang w:eastAsia="en-GB"/>
                <w14:ligatures w14:val="none"/>
              </w:rPr>
              <w:t xml:space="preserve">tress testing should </w:t>
            </w:r>
            <w:r w:rsidR="000C4468">
              <w:rPr>
                <w:rFonts w:ascii="Calibri" w:hAnsi="Calibri" w:eastAsia="Times New Roman" w:cs="Calibri"/>
                <w:kern w:val="0"/>
                <w:lang w:eastAsia="en-GB"/>
                <w14:ligatures w14:val="none"/>
              </w:rPr>
              <w:t>incoporate</w:t>
            </w:r>
            <w:r w:rsidRPr="00187D7F" w:rsidR="00187D7F">
              <w:rPr>
                <w:rFonts w:ascii="Calibri" w:hAnsi="Calibri" w:eastAsia="Times New Roman" w:cs="Calibri"/>
                <w:kern w:val="0"/>
                <w:lang w:eastAsia="en-GB"/>
                <w14:ligatures w14:val="none"/>
              </w:rPr>
              <w:t xml:space="preserve"> severe but plausible climate-related scenarios as part of the institution’s risk management (Section 6).</w:t>
            </w:r>
          </w:p>
          <w:p w:rsidRPr="00844BED" w:rsidR="00844BED" w:rsidP="00844BED" w:rsidRDefault="00844BED" w14:paraId="5C18CF55" w14:textId="7CC5221B">
            <w:pPr>
              <w:rPr>
                <w:rFonts w:ascii="Calibri" w:hAnsi="Calibri" w:eastAsia="Times New Roman" w:cs="Calibri"/>
                <w:lang w:eastAsia="en-GB"/>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536CF5" w14:paraId="4881339D" w14:textId="5E8150A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EE17D9" w14:paraId="3AD9293C" w14:textId="2FFC069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7802B2" w14:paraId="4C2594F6" w14:textId="3EC3AA7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4648E9" w14:paraId="5F9C9C35" w14:textId="49655BD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00F26296" w:rsidP="00CF2E7C" w:rsidRDefault="008309E8" w14:paraId="4162F238" w14:textId="04462BCA">
            <w:pPr>
              <w:textAlignment w:val="baseline"/>
              <w:rPr>
                <w:rFonts w:ascii="Calibri" w:hAnsi="Calibri" w:eastAsia="Times New Roman" w:cs="Calibri"/>
                <w:kern w:val="0"/>
                <w:lang w:eastAsia="en-GB"/>
                <w14:ligatures w14:val="none"/>
              </w:rPr>
            </w:pPr>
            <w:r w:rsidRPr="008309E8">
              <w:rPr>
                <w:rFonts w:ascii="Calibri" w:hAnsi="Calibri" w:eastAsia="Times New Roman" w:cs="Calibri"/>
                <w:kern w:val="0"/>
                <w:lang w:eastAsia="en-GB"/>
                <w14:ligatures w14:val="none"/>
              </w:rPr>
              <w:t>The outcomes of these exercises are integrated into the institution’s risk strategy and risk-bearing capacity assessments</w:t>
            </w:r>
            <w:r w:rsidR="00CB1B9E">
              <w:rPr>
                <w:rFonts w:ascii="Calibri" w:hAnsi="Calibri" w:eastAsia="Times New Roman" w:cs="Calibri"/>
                <w:kern w:val="0"/>
                <w:lang w:eastAsia="en-GB"/>
                <w14:ligatures w14:val="none"/>
              </w:rPr>
              <w:t>. This aims</w:t>
            </w:r>
            <w:r w:rsidRPr="008309E8">
              <w:rPr>
                <w:rFonts w:ascii="Calibri" w:hAnsi="Calibri" w:eastAsia="Times New Roman" w:cs="Calibri"/>
                <w:kern w:val="0"/>
                <w:lang w:eastAsia="en-GB"/>
                <w14:ligatures w14:val="none"/>
              </w:rPr>
              <w:t xml:space="preserve"> to ensure that sustainability risks, including climate-related risks, are adequately captured and managed (Section 5</w:t>
            </w:r>
            <w:r>
              <w:rPr>
                <w:rFonts w:ascii="Calibri" w:hAnsi="Calibri" w:eastAsia="Times New Roman" w:cs="Calibri"/>
                <w:kern w:val="0"/>
                <w:lang w:eastAsia="en-GB"/>
                <w14:ligatures w14:val="none"/>
              </w:rPr>
              <w:t>).</w:t>
            </w:r>
          </w:p>
          <w:p w:rsidRPr="00CF2E7C" w:rsidR="006974D5" w:rsidP="00CF2E7C" w:rsidRDefault="006974D5" w14:paraId="02DA5710" w14:textId="511E6540">
            <w:pPr>
              <w:textAlignment w:val="baseline"/>
              <w:rPr>
                <w:rFonts w:ascii="Calibri" w:hAnsi="Calibri" w:eastAsia="Times New Roman" w:cs="Calibri"/>
                <w:kern w:val="0"/>
                <w:lang w:eastAsia="en-GB"/>
                <w14:ligatures w14:val="none"/>
              </w:rPr>
            </w:pPr>
            <w:r w:rsidRPr="006974D5">
              <w:rPr>
                <w:rFonts w:ascii="Calibri" w:hAnsi="Calibri" w:eastAsia="Times New Roman" w:cs="Calibri"/>
                <w:kern w:val="0"/>
                <w:lang w:eastAsia="en-GB"/>
                <w14:ligatures w14:val="none"/>
              </w:rPr>
              <w:t>The results support decision-making by the management body, helping to adjust risk appetite, allocate capital internally and design appropriate risk mitigation measures. Institutions are expected to use scenario findings to inform forward-looking risk management practices, including identifying vulnerabilities and testing resilience under various plausible future climate scenarios (Section 6</w:t>
            </w:r>
            <w:r>
              <w:rPr>
                <w:rFonts w:ascii="Calibri" w:hAnsi="Calibri" w:eastAsia="Times New Roman" w:cs="Calibri"/>
                <w:kern w:val="0"/>
                <w:lang w:eastAsia="en-GB"/>
                <w14:ligatures w14:val="none"/>
              </w:rPr>
              <w:t>).</w:t>
            </w: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067715" w14:textId="268BDA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27CEB">
              <w:rPr>
                <w:rFonts w:ascii="Calibri" w:hAnsi="Calibri" w:eastAsia="Times New Roman" w:cs="Calibri"/>
                <w:kern w:val="0"/>
                <w:lang w:eastAsia="en-GB"/>
                <w14:ligatures w14:val="none"/>
              </w:rPr>
              <w:t>X</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252E4F4" w14:textId="5E5D0C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27CEB">
              <w:rPr>
                <w:rFonts w:ascii="Calibri" w:hAnsi="Calibri" w:eastAsia="Times New Roman" w:cs="Calibri"/>
                <w:kern w:val="0"/>
                <w:lang w:eastAsia="en-GB"/>
                <w14:ligatures w14:val="none"/>
              </w:rPr>
              <w:t>X</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00702413" w:rsidP="00455D43" w:rsidRDefault="00455D43" w14:paraId="27BC85F8" w14:textId="77777777">
            <w:pPr>
              <w:textAlignment w:val="baseline"/>
              <w:rPr>
                <w:rFonts w:eastAsia="Times New Roman" w:cstheme="minorHAnsi"/>
                <w:kern w:val="0"/>
                <w:lang w:eastAsia="en-GB"/>
                <w14:ligatures w14:val="none"/>
              </w:rPr>
            </w:pPr>
            <w:r w:rsidRPr="00455D43">
              <w:rPr>
                <w:rFonts w:eastAsia="Times New Roman" w:cstheme="minorHAnsi"/>
                <w:kern w:val="0"/>
                <w:lang w:eastAsia="en-GB"/>
                <w14:ligatures w14:val="none"/>
              </w:rPr>
              <w:t>-</w:t>
            </w:r>
            <w:r>
              <w:rPr>
                <w:rFonts w:eastAsia="Times New Roman" w:cstheme="minorHAnsi"/>
                <w:kern w:val="0"/>
                <w:lang w:eastAsia="en-GB"/>
                <w14:ligatures w14:val="none"/>
              </w:rPr>
              <w:t xml:space="preserve"> </w:t>
            </w:r>
            <w:r w:rsidRPr="00455D43">
              <w:rPr>
                <w:rFonts w:eastAsia="Times New Roman" w:cstheme="minorHAnsi"/>
                <w:kern w:val="0"/>
                <w:lang w:eastAsia="en-GB"/>
                <w14:ligatures w14:val="none"/>
              </w:rPr>
              <w:t>Institutions often lack access to reliable, consistent data on physical and transition climate risks. This limits the accuracy of risk assessments and scenario analyses (Section 4)</w:t>
            </w:r>
            <w:r>
              <w:rPr>
                <w:rFonts w:eastAsia="Times New Roman" w:cstheme="minorHAnsi"/>
                <w:kern w:val="0"/>
                <w:lang w:eastAsia="en-GB"/>
                <w14:ligatures w14:val="none"/>
              </w:rPr>
              <w:t>.</w:t>
            </w:r>
          </w:p>
          <w:p w:rsidR="00455D43" w:rsidP="00455D43" w:rsidRDefault="00455D43" w14:paraId="3E498F2C" w14:textId="67F888E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817EE2" w:rsidR="00817EE2">
              <w:rPr>
                <w:rFonts w:eastAsia="Times New Roman" w:cstheme="minorHAnsi"/>
                <w:kern w:val="0"/>
                <w:lang w:eastAsia="en-GB"/>
                <w14:ligatures w14:val="none"/>
              </w:rPr>
              <w:t xml:space="preserve">The absence of standardized methodologies and metrics for climate risk quantification and scenario </w:t>
            </w:r>
            <w:r w:rsidRPr="00817EE2" w:rsidR="00817EE2">
              <w:rPr>
                <w:rFonts w:eastAsia="Times New Roman" w:cstheme="minorHAnsi"/>
                <w:kern w:val="0"/>
                <w:lang w:eastAsia="en-GB"/>
                <w14:ligatures w14:val="none"/>
              </w:rPr>
              <w:t>modelling</w:t>
            </w:r>
            <w:r w:rsidRPr="00817EE2" w:rsidR="00817EE2">
              <w:rPr>
                <w:rFonts w:eastAsia="Times New Roman" w:cstheme="minorHAnsi"/>
                <w:kern w:val="0"/>
                <w:lang w:eastAsia="en-GB"/>
                <w14:ligatures w14:val="none"/>
              </w:rPr>
              <w:t xml:space="preserve"> poses difficulties. Institutions must develop internally consistent approaches without universally accepted best practices, creating challenges for comparability and supervisory evaluation.</w:t>
            </w:r>
          </w:p>
          <w:p w:rsidRPr="00455D43" w:rsidR="00817EE2" w:rsidP="00817EE2" w:rsidRDefault="00817EE2" w14:paraId="718D87F5" w14:textId="5002C5C2">
            <w:pPr>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817EE2">
              <w:rPr>
                <w:rFonts w:eastAsia="Times New Roman" w:cstheme="minorHAnsi"/>
                <w:kern w:val="0"/>
                <w:lang w:eastAsia="en-GB"/>
                <w14:ligatures w14:val="none"/>
              </w:rPr>
              <w:t>Climate risks unfold over long and uncertain timeframes, challenging traditional risk management paradigms focused on short-term risks and near-term regulatory reporting cycles (Sections 5 and 6).</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lastRenderedPageBreak/>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47CC645C">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0732F863">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9">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496FB512">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0">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5D825BD6">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6D0A1AF3">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37B8BFEF">
            <w:pPr>
              <w:rPr>
                <w:rFonts w:cstheme="minorHAnsi"/>
              </w:rPr>
            </w:pPr>
            <w:r w:rsidRPr="009C4D10">
              <w:rPr>
                <w:rFonts w:cstheme="minorHAnsi"/>
              </w:rPr>
              <w:t>  </w:t>
            </w:r>
            <w:r w:rsidR="005907F8">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45A7FDC7">
            <w:pPr>
              <w:rPr>
                <w:rFonts w:cstheme="minorHAnsi"/>
              </w:rPr>
            </w:pPr>
            <w:r w:rsidRPr="009C4D10">
              <w:rPr>
                <w:rFonts w:cstheme="minorHAnsi"/>
                <w:lang w:val="en-SG"/>
              </w:rPr>
              <w:t> </w:t>
            </w:r>
            <w:r w:rsidRPr="009C4D10">
              <w:rPr>
                <w:rFonts w:cstheme="minorHAnsi"/>
              </w:rPr>
              <w:t> </w:t>
            </w:r>
            <w:r w:rsidR="005907F8">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96AFA" w:rsidP="00874E39" w:rsidRDefault="00196AFA" w14:paraId="75917756" w14:textId="77777777">
      <w:r>
        <w:separator/>
      </w:r>
    </w:p>
  </w:endnote>
  <w:endnote w:type="continuationSeparator" w:id="0">
    <w:p w:rsidR="00196AFA" w:rsidP="00874E39" w:rsidRDefault="00196AFA" w14:paraId="47011BE7" w14:textId="77777777">
      <w:r>
        <w:continuationSeparator/>
      </w:r>
    </w:p>
  </w:endnote>
  <w:endnote w:type="continuationNotice" w:id="1">
    <w:p w:rsidR="00196AFA" w:rsidRDefault="00196AFA" w14:paraId="3F43969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96AFA" w:rsidP="00874E39" w:rsidRDefault="00196AFA" w14:paraId="3E5DF912" w14:textId="77777777">
      <w:r>
        <w:separator/>
      </w:r>
    </w:p>
  </w:footnote>
  <w:footnote w:type="continuationSeparator" w:id="0">
    <w:p w:rsidR="00196AFA" w:rsidP="00874E39" w:rsidRDefault="00196AFA" w14:paraId="6020A126" w14:textId="77777777">
      <w:r>
        <w:continuationSeparator/>
      </w:r>
    </w:p>
  </w:footnote>
  <w:footnote w:type="continuationNotice" w:id="1">
    <w:p w:rsidR="00196AFA" w:rsidRDefault="00196AFA" w14:paraId="61782E2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43E4D2A"/>
    <w:multiLevelType w:val="hybridMultilevel"/>
    <w:tmpl w:val="17EC41AC"/>
    <w:lvl w:ilvl="0" w:tplc="83AE5408">
      <w:start w:val="5"/>
      <w:numFmt w:val="bullet"/>
      <w:lvlText w:val="-"/>
      <w:lvlJc w:val="left"/>
      <w:pPr>
        <w:ind w:left="720" w:hanging="360"/>
      </w:pPr>
      <w:rPr>
        <w:rFonts w:hint="default" w:ascii="Calibri" w:hAnsi="Calibri" w:eastAsia="Times New Roman" w:cs="Calibr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8" w15:restartNumberingAfterBreak="0">
    <w:nsid w:val="351F3633"/>
    <w:multiLevelType w:val="hybridMultilevel"/>
    <w:tmpl w:val="AE5A238A"/>
    <w:lvl w:ilvl="0" w:tplc="2B4694FA">
      <w:start w:val="5"/>
      <w:numFmt w:val="bullet"/>
      <w:lvlText w:val="-"/>
      <w:lvlJc w:val="left"/>
      <w:pPr>
        <w:ind w:left="720" w:hanging="360"/>
      </w:pPr>
      <w:rPr>
        <w:rFonts w:hint="default" w:ascii="Calibri" w:hAnsi="Calibri" w:eastAsia="Times New Roman" w:cs="Calibr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7" w15:restartNumberingAfterBreak="0">
    <w:nsid w:val="43CC1D30"/>
    <w:multiLevelType w:val="hybridMultilevel"/>
    <w:tmpl w:val="14DEE04A"/>
    <w:lvl w:ilvl="0" w:tplc="F9D29290">
      <w:start w:val="5"/>
      <w:numFmt w:val="bullet"/>
      <w:lvlText w:val="-"/>
      <w:lvlJc w:val="left"/>
      <w:pPr>
        <w:ind w:left="720" w:hanging="360"/>
      </w:pPr>
      <w:rPr>
        <w:rFonts w:hint="default" w:ascii="Calibri" w:hAnsi="Calibri" w:eastAsia="Times New Roman" w:cs="Calibr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0" w15:restartNumberingAfterBreak="0">
    <w:nsid w:val="470A176E"/>
    <w:multiLevelType w:val="hybridMultilevel"/>
    <w:tmpl w:val="2756896A"/>
    <w:lvl w:ilvl="0" w:tplc="D8EA49FE">
      <w:start w:val="5"/>
      <w:numFmt w:val="bullet"/>
      <w:lvlText w:val="-"/>
      <w:lvlJc w:val="left"/>
      <w:pPr>
        <w:ind w:left="720" w:hanging="360"/>
      </w:pPr>
      <w:rPr>
        <w:rFonts w:hint="default" w:ascii="Calibri" w:hAnsi="Calibri" w:eastAsia="Times New Roman" w:cs="Calibr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7"/>
  </w:num>
  <w:num w:numId="2" w16cid:durableId="482308869">
    <w:abstractNumId w:val="25"/>
  </w:num>
  <w:num w:numId="3" w16cid:durableId="690952733">
    <w:abstractNumId w:val="45"/>
  </w:num>
  <w:num w:numId="4" w16cid:durableId="1689330127">
    <w:abstractNumId w:val="1"/>
  </w:num>
  <w:num w:numId="5" w16cid:durableId="401291788">
    <w:abstractNumId w:val="32"/>
  </w:num>
  <w:num w:numId="6" w16cid:durableId="1276788690">
    <w:abstractNumId w:val="14"/>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1"/>
  </w:num>
  <w:num w:numId="12" w16cid:durableId="1344891410">
    <w:abstractNumId w:val="10"/>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9"/>
  </w:num>
  <w:num w:numId="18" w16cid:durableId="568614617">
    <w:abstractNumId w:val="19"/>
  </w:num>
  <w:num w:numId="19" w16cid:durableId="1530605858">
    <w:abstractNumId w:val="46"/>
  </w:num>
  <w:num w:numId="20" w16cid:durableId="1328172586">
    <w:abstractNumId w:val="16"/>
  </w:num>
  <w:num w:numId="21" w16cid:durableId="184827816">
    <w:abstractNumId w:val="31"/>
  </w:num>
  <w:num w:numId="22" w16cid:durableId="1785346599">
    <w:abstractNumId w:val="37"/>
  </w:num>
  <w:num w:numId="23" w16cid:durableId="1294288901">
    <w:abstractNumId w:val="29"/>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3"/>
  </w:num>
  <w:num w:numId="29" w16cid:durableId="1632318729">
    <w:abstractNumId w:val="49"/>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8"/>
  </w:num>
  <w:num w:numId="48" w16cid:durableId="318391343">
    <w:abstractNumId w:val="40"/>
  </w:num>
  <w:num w:numId="49" w16cid:durableId="24907803">
    <w:abstractNumId w:val="27"/>
  </w:num>
  <w:num w:numId="50" w16cid:durableId="1790123539">
    <w:abstractNumId w:val="30"/>
  </w:num>
  <w:num w:numId="51" w16cid:durableId="406806715">
    <w:abstractNumId w:val="8"/>
  </w:num>
  <w:num w:numId="52" w16cid:durableId="1252736367">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AE3"/>
    <w:rsid w:val="00024B36"/>
    <w:rsid w:val="00024B46"/>
    <w:rsid w:val="00025699"/>
    <w:rsid w:val="00027241"/>
    <w:rsid w:val="00027314"/>
    <w:rsid w:val="00027BB2"/>
    <w:rsid w:val="00027D03"/>
    <w:rsid w:val="00030C1E"/>
    <w:rsid w:val="0003325A"/>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DB8"/>
    <w:rsid w:val="0006062B"/>
    <w:rsid w:val="000607C0"/>
    <w:rsid w:val="000609A8"/>
    <w:rsid w:val="00061CCB"/>
    <w:rsid w:val="00062223"/>
    <w:rsid w:val="00062526"/>
    <w:rsid w:val="00064195"/>
    <w:rsid w:val="00064FDB"/>
    <w:rsid w:val="00065A4A"/>
    <w:rsid w:val="0006692A"/>
    <w:rsid w:val="00067883"/>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1D9"/>
    <w:rsid w:val="000948C7"/>
    <w:rsid w:val="00096371"/>
    <w:rsid w:val="000966D3"/>
    <w:rsid w:val="000A0D34"/>
    <w:rsid w:val="000A1365"/>
    <w:rsid w:val="000A1490"/>
    <w:rsid w:val="000A1828"/>
    <w:rsid w:val="000A1917"/>
    <w:rsid w:val="000A1C25"/>
    <w:rsid w:val="000A3C19"/>
    <w:rsid w:val="000A43FC"/>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2C45"/>
    <w:rsid w:val="000C4468"/>
    <w:rsid w:val="000C52F1"/>
    <w:rsid w:val="000D0592"/>
    <w:rsid w:val="000D1226"/>
    <w:rsid w:val="000D213B"/>
    <w:rsid w:val="000D223D"/>
    <w:rsid w:val="000D5049"/>
    <w:rsid w:val="000D7158"/>
    <w:rsid w:val="000D727C"/>
    <w:rsid w:val="000D745D"/>
    <w:rsid w:val="000D7472"/>
    <w:rsid w:val="000E0220"/>
    <w:rsid w:val="000E0404"/>
    <w:rsid w:val="000E14E6"/>
    <w:rsid w:val="000E1816"/>
    <w:rsid w:val="000E2E33"/>
    <w:rsid w:val="000E310E"/>
    <w:rsid w:val="000E3B90"/>
    <w:rsid w:val="000E3D35"/>
    <w:rsid w:val="000E6110"/>
    <w:rsid w:val="000E6A6A"/>
    <w:rsid w:val="000E7A8A"/>
    <w:rsid w:val="000F4459"/>
    <w:rsid w:val="000F5E92"/>
    <w:rsid w:val="000F690C"/>
    <w:rsid w:val="000F6A41"/>
    <w:rsid w:val="000F6E3B"/>
    <w:rsid w:val="001004B0"/>
    <w:rsid w:val="00101305"/>
    <w:rsid w:val="001014D9"/>
    <w:rsid w:val="001021EC"/>
    <w:rsid w:val="00102A9F"/>
    <w:rsid w:val="00104BA2"/>
    <w:rsid w:val="00104EB1"/>
    <w:rsid w:val="00105889"/>
    <w:rsid w:val="00105C84"/>
    <w:rsid w:val="00105F75"/>
    <w:rsid w:val="00106F13"/>
    <w:rsid w:val="001071E4"/>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064"/>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CB1"/>
    <w:rsid w:val="00164519"/>
    <w:rsid w:val="00172B85"/>
    <w:rsid w:val="00173D7C"/>
    <w:rsid w:val="0017449C"/>
    <w:rsid w:val="001749C3"/>
    <w:rsid w:val="00176011"/>
    <w:rsid w:val="00180289"/>
    <w:rsid w:val="00182288"/>
    <w:rsid w:val="00182646"/>
    <w:rsid w:val="00183170"/>
    <w:rsid w:val="00184609"/>
    <w:rsid w:val="00184CBE"/>
    <w:rsid w:val="00185C8C"/>
    <w:rsid w:val="00187783"/>
    <w:rsid w:val="00187D7F"/>
    <w:rsid w:val="001904E6"/>
    <w:rsid w:val="00191059"/>
    <w:rsid w:val="001919D8"/>
    <w:rsid w:val="00192EC4"/>
    <w:rsid w:val="0019340B"/>
    <w:rsid w:val="001953A3"/>
    <w:rsid w:val="0019639C"/>
    <w:rsid w:val="00196AFA"/>
    <w:rsid w:val="00197A30"/>
    <w:rsid w:val="00197B43"/>
    <w:rsid w:val="00197E06"/>
    <w:rsid w:val="001A0537"/>
    <w:rsid w:val="001A11A7"/>
    <w:rsid w:val="001A2BF2"/>
    <w:rsid w:val="001A368C"/>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417"/>
    <w:rsid w:val="00237F89"/>
    <w:rsid w:val="002406C6"/>
    <w:rsid w:val="00240CE1"/>
    <w:rsid w:val="00241257"/>
    <w:rsid w:val="00242839"/>
    <w:rsid w:val="00244207"/>
    <w:rsid w:val="00246630"/>
    <w:rsid w:val="00247DE7"/>
    <w:rsid w:val="002500FA"/>
    <w:rsid w:val="00250626"/>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A30"/>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920"/>
    <w:rsid w:val="002A6274"/>
    <w:rsid w:val="002A6707"/>
    <w:rsid w:val="002B1491"/>
    <w:rsid w:val="002B1E50"/>
    <w:rsid w:val="002B229D"/>
    <w:rsid w:val="002B255F"/>
    <w:rsid w:val="002B272B"/>
    <w:rsid w:val="002B3098"/>
    <w:rsid w:val="002B4149"/>
    <w:rsid w:val="002B4903"/>
    <w:rsid w:val="002B6C7E"/>
    <w:rsid w:val="002B708A"/>
    <w:rsid w:val="002B75E6"/>
    <w:rsid w:val="002B7D5C"/>
    <w:rsid w:val="002C060D"/>
    <w:rsid w:val="002C0DCE"/>
    <w:rsid w:val="002C14C2"/>
    <w:rsid w:val="002C169C"/>
    <w:rsid w:val="002C2336"/>
    <w:rsid w:val="002C5E2F"/>
    <w:rsid w:val="002C6925"/>
    <w:rsid w:val="002C75E1"/>
    <w:rsid w:val="002C77E1"/>
    <w:rsid w:val="002D22F6"/>
    <w:rsid w:val="002D2A95"/>
    <w:rsid w:val="002D2B2C"/>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AEE"/>
    <w:rsid w:val="002F1ABB"/>
    <w:rsid w:val="002F359D"/>
    <w:rsid w:val="002F3FDE"/>
    <w:rsid w:val="002F435A"/>
    <w:rsid w:val="002F4EC2"/>
    <w:rsid w:val="002F51F3"/>
    <w:rsid w:val="002F5320"/>
    <w:rsid w:val="002F5321"/>
    <w:rsid w:val="002F5D09"/>
    <w:rsid w:val="00300807"/>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1535"/>
    <w:rsid w:val="003421A5"/>
    <w:rsid w:val="003423AA"/>
    <w:rsid w:val="00343665"/>
    <w:rsid w:val="00343937"/>
    <w:rsid w:val="00344B03"/>
    <w:rsid w:val="00344D58"/>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8D1"/>
    <w:rsid w:val="003676DE"/>
    <w:rsid w:val="0036779C"/>
    <w:rsid w:val="00372AEE"/>
    <w:rsid w:val="00372C4F"/>
    <w:rsid w:val="00374229"/>
    <w:rsid w:val="0037453B"/>
    <w:rsid w:val="00375D49"/>
    <w:rsid w:val="003762A4"/>
    <w:rsid w:val="003770DA"/>
    <w:rsid w:val="00377281"/>
    <w:rsid w:val="0037E466"/>
    <w:rsid w:val="003811C3"/>
    <w:rsid w:val="003817C1"/>
    <w:rsid w:val="00381CDC"/>
    <w:rsid w:val="00381E8A"/>
    <w:rsid w:val="00381ED3"/>
    <w:rsid w:val="00381FD3"/>
    <w:rsid w:val="00385566"/>
    <w:rsid w:val="00386B53"/>
    <w:rsid w:val="003876EE"/>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4C4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91D"/>
    <w:rsid w:val="00404119"/>
    <w:rsid w:val="00404453"/>
    <w:rsid w:val="00405D8B"/>
    <w:rsid w:val="00405F08"/>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C2C"/>
    <w:rsid w:val="00444D51"/>
    <w:rsid w:val="004474C7"/>
    <w:rsid w:val="00450AD7"/>
    <w:rsid w:val="00450C15"/>
    <w:rsid w:val="004514AB"/>
    <w:rsid w:val="00452F13"/>
    <w:rsid w:val="004557A1"/>
    <w:rsid w:val="00455D43"/>
    <w:rsid w:val="00455E1B"/>
    <w:rsid w:val="00460A6D"/>
    <w:rsid w:val="00461552"/>
    <w:rsid w:val="00463D40"/>
    <w:rsid w:val="004648E9"/>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33E"/>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00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8CB"/>
    <w:rsid w:val="004E1CE3"/>
    <w:rsid w:val="004E4F56"/>
    <w:rsid w:val="004E51B5"/>
    <w:rsid w:val="004E6376"/>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5F1"/>
    <w:rsid w:val="00536B60"/>
    <w:rsid w:val="00536CF5"/>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42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7F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7AE"/>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98E"/>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692"/>
    <w:rsid w:val="00683A9D"/>
    <w:rsid w:val="00683DB5"/>
    <w:rsid w:val="00685A4F"/>
    <w:rsid w:val="006878AC"/>
    <w:rsid w:val="00690B2A"/>
    <w:rsid w:val="006936EF"/>
    <w:rsid w:val="006943E9"/>
    <w:rsid w:val="00695F64"/>
    <w:rsid w:val="00696548"/>
    <w:rsid w:val="00696D68"/>
    <w:rsid w:val="006974D5"/>
    <w:rsid w:val="006A00E0"/>
    <w:rsid w:val="006A103A"/>
    <w:rsid w:val="006A2168"/>
    <w:rsid w:val="006A21C6"/>
    <w:rsid w:val="006A308E"/>
    <w:rsid w:val="006A3518"/>
    <w:rsid w:val="006A4C24"/>
    <w:rsid w:val="006A4C9F"/>
    <w:rsid w:val="006A63B5"/>
    <w:rsid w:val="006A6DC2"/>
    <w:rsid w:val="006B07E5"/>
    <w:rsid w:val="006B0C0B"/>
    <w:rsid w:val="006B2C46"/>
    <w:rsid w:val="006B4FC8"/>
    <w:rsid w:val="006B5605"/>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400"/>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6D0"/>
    <w:rsid w:val="00747146"/>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047"/>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B2"/>
    <w:rsid w:val="007802C6"/>
    <w:rsid w:val="007807DE"/>
    <w:rsid w:val="0078098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BDC"/>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C34"/>
    <w:rsid w:val="007D33C4"/>
    <w:rsid w:val="007D3472"/>
    <w:rsid w:val="007D366D"/>
    <w:rsid w:val="007D4EBE"/>
    <w:rsid w:val="007D53DD"/>
    <w:rsid w:val="007D5868"/>
    <w:rsid w:val="007D61F4"/>
    <w:rsid w:val="007D6CAB"/>
    <w:rsid w:val="007D7B7E"/>
    <w:rsid w:val="007E038D"/>
    <w:rsid w:val="007E0819"/>
    <w:rsid w:val="007E08A2"/>
    <w:rsid w:val="007E0ABD"/>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0D7"/>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EE2"/>
    <w:rsid w:val="00820133"/>
    <w:rsid w:val="00820D9F"/>
    <w:rsid w:val="00822032"/>
    <w:rsid w:val="008247E4"/>
    <w:rsid w:val="0082488A"/>
    <w:rsid w:val="0082674B"/>
    <w:rsid w:val="008273C0"/>
    <w:rsid w:val="008279D8"/>
    <w:rsid w:val="008309E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3CF"/>
    <w:rsid w:val="0084197D"/>
    <w:rsid w:val="00842886"/>
    <w:rsid w:val="008432F5"/>
    <w:rsid w:val="008434EB"/>
    <w:rsid w:val="00844BED"/>
    <w:rsid w:val="008455E5"/>
    <w:rsid w:val="0084684C"/>
    <w:rsid w:val="008472B1"/>
    <w:rsid w:val="00850568"/>
    <w:rsid w:val="0085060B"/>
    <w:rsid w:val="00850F36"/>
    <w:rsid w:val="008510EC"/>
    <w:rsid w:val="00851476"/>
    <w:rsid w:val="00853253"/>
    <w:rsid w:val="00854B57"/>
    <w:rsid w:val="00854CE2"/>
    <w:rsid w:val="008552B5"/>
    <w:rsid w:val="0085591B"/>
    <w:rsid w:val="008569FA"/>
    <w:rsid w:val="008577E3"/>
    <w:rsid w:val="00860CA9"/>
    <w:rsid w:val="00860D36"/>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273E"/>
    <w:rsid w:val="008B4536"/>
    <w:rsid w:val="008B5DC5"/>
    <w:rsid w:val="008B7E8C"/>
    <w:rsid w:val="008B7F82"/>
    <w:rsid w:val="008C07E1"/>
    <w:rsid w:val="008C0FA6"/>
    <w:rsid w:val="008C2AC5"/>
    <w:rsid w:val="008C2E61"/>
    <w:rsid w:val="008C4722"/>
    <w:rsid w:val="008C5525"/>
    <w:rsid w:val="008C6B9C"/>
    <w:rsid w:val="008C718C"/>
    <w:rsid w:val="008C7352"/>
    <w:rsid w:val="008C78AD"/>
    <w:rsid w:val="008C7C5B"/>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0D5"/>
    <w:rsid w:val="008F27A6"/>
    <w:rsid w:val="008F31B3"/>
    <w:rsid w:val="008F32F0"/>
    <w:rsid w:val="008F520A"/>
    <w:rsid w:val="008F6A58"/>
    <w:rsid w:val="008F6F09"/>
    <w:rsid w:val="00900BE0"/>
    <w:rsid w:val="0090170E"/>
    <w:rsid w:val="00901BF4"/>
    <w:rsid w:val="00901C62"/>
    <w:rsid w:val="00902595"/>
    <w:rsid w:val="0090264D"/>
    <w:rsid w:val="00903BD2"/>
    <w:rsid w:val="00905577"/>
    <w:rsid w:val="00905C1A"/>
    <w:rsid w:val="0090623B"/>
    <w:rsid w:val="00906E8B"/>
    <w:rsid w:val="009102B5"/>
    <w:rsid w:val="00910688"/>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2FA"/>
    <w:rsid w:val="009241AF"/>
    <w:rsid w:val="00924C32"/>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FB1"/>
    <w:rsid w:val="00960F14"/>
    <w:rsid w:val="009612D3"/>
    <w:rsid w:val="00962064"/>
    <w:rsid w:val="00962F14"/>
    <w:rsid w:val="00963A39"/>
    <w:rsid w:val="00963DC5"/>
    <w:rsid w:val="009649F8"/>
    <w:rsid w:val="00964E91"/>
    <w:rsid w:val="00966139"/>
    <w:rsid w:val="00966160"/>
    <w:rsid w:val="00966C8D"/>
    <w:rsid w:val="0097030B"/>
    <w:rsid w:val="00970C82"/>
    <w:rsid w:val="00971C0E"/>
    <w:rsid w:val="00973177"/>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506"/>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9B1"/>
    <w:rsid w:val="009D3E23"/>
    <w:rsid w:val="009D43A7"/>
    <w:rsid w:val="009D5403"/>
    <w:rsid w:val="009D59A5"/>
    <w:rsid w:val="009D7337"/>
    <w:rsid w:val="009D7CB0"/>
    <w:rsid w:val="009E133B"/>
    <w:rsid w:val="009E1E61"/>
    <w:rsid w:val="009E21B4"/>
    <w:rsid w:val="009E3D96"/>
    <w:rsid w:val="009E40D3"/>
    <w:rsid w:val="009E4263"/>
    <w:rsid w:val="009E5F98"/>
    <w:rsid w:val="009E6317"/>
    <w:rsid w:val="009E6B14"/>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0FE"/>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AD0"/>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2251"/>
    <w:rsid w:val="00AD4477"/>
    <w:rsid w:val="00AD4F51"/>
    <w:rsid w:val="00AD5285"/>
    <w:rsid w:val="00AD54D3"/>
    <w:rsid w:val="00AD70E0"/>
    <w:rsid w:val="00AE0028"/>
    <w:rsid w:val="00AE00FE"/>
    <w:rsid w:val="00AE0451"/>
    <w:rsid w:val="00AE0803"/>
    <w:rsid w:val="00AE0ADB"/>
    <w:rsid w:val="00AE2662"/>
    <w:rsid w:val="00AE3CBD"/>
    <w:rsid w:val="00AE5738"/>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06C"/>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2B1"/>
    <w:rsid w:val="00B54876"/>
    <w:rsid w:val="00B560F4"/>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0F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5F3"/>
    <w:rsid w:val="00BA76F5"/>
    <w:rsid w:val="00BA7960"/>
    <w:rsid w:val="00BA7F63"/>
    <w:rsid w:val="00BB017D"/>
    <w:rsid w:val="00BB0CCF"/>
    <w:rsid w:val="00BB2ECF"/>
    <w:rsid w:val="00BB3989"/>
    <w:rsid w:val="00BB44CD"/>
    <w:rsid w:val="00BB58AA"/>
    <w:rsid w:val="00BB667C"/>
    <w:rsid w:val="00BB7964"/>
    <w:rsid w:val="00BC0309"/>
    <w:rsid w:val="00BC1037"/>
    <w:rsid w:val="00BC2F0B"/>
    <w:rsid w:val="00BC3206"/>
    <w:rsid w:val="00BC4832"/>
    <w:rsid w:val="00BC5451"/>
    <w:rsid w:val="00BC5744"/>
    <w:rsid w:val="00BC5B8A"/>
    <w:rsid w:val="00BC7643"/>
    <w:rsid w:val="00BD1613"/>
    <w:rsid w:val="00BD3AB4"/>
    <w:rsid w:val="00BD6932"/>
    <w:rsid w:val="00BD6D24"/>
    <w:rsid w:val="00BE049B"/>
    <w:rsid w:val="00BE0825"/>
    <w:rsid w:val="00BE13CB"/>
    <w:rsid w:val="00BE13D7"/>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379"/>
    <w:rsid w:val="00C06476"/>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06EC"/>
    <w:rsid w:val="00C419A1"/>
    <w:rsid w:val="00C425DF"/>
    <w:rsid w:val="00C42D3A"/>
    <w:rsid w:val="00C43124"/>
    <w:rsid w:val="00C440FC"/>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CE0"/>
    <w:rsid w:val="00CA27C6"/>
    <w:rsid w:val="00CA5087"/>
    <w:rsid w:val="00CA58EE"/>
    <w:rsid w:val="00CA7EEF"/>
    <w:rsid w:val="00CB1649"/>
    <w:rsid w:val="00CB179D"/>
    <w:rsid w:val="00CB1B9E"/>
    <w:rsid w:val="00CB3E5E"/>
    <w:rsid w:val="00CB4EBD"/>
    <w:rsid w:val="00CB6338"/>
    <w:rsid w:val="00CB698E"/>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7CA"/>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7F5"/>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504"/>
    <w:rsid w:val="00D510DA"/>
    <w:rsid w:val="00D53F8D"/>
    <w:rsid w:val="00D547E6"/>
    <w:rsid w:val="00D55F23"/>
    <w:rsid w:val="00D56EA7"/>
    <w:rsid w:val="00D57A30"/>
    <w:rsid w:val="00D57AD5"/>
    <w:rsid w:val="00D6003F"/>
    <w:rsid w:val="00D60275"/>
    <w:rsid w:val="00D60661"/>
    <w:rsid w:val="00D606B8"/>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0D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912"/>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674"/>
    <w:rsid w:val="00E65D70"/>
    <w:rsid w:val="00E6706E"/>
    <w:rsid w:val="00E67095"/>
    <w:rsid w:val="00E67A04"/>
    <w:rsid w:val="00E70A6A"/>
    <w:rsid w:val="00E71E7C"/>
    <w:rsid w:val="00E727D2"/>
    <w:rsid w:val="00E73270"/>
    <w:rsid w:val="00E7355A"/>
    <w:rsid w:val="00E73663"/>
    <w:rsid w:val="00E738CA"/>
    <w:rsid w:val="00E73A69"/>
    <w:rsid w:val="00E7486E"/>
    <w:rsid w:val="00E74928"/>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0F2"/>
    <w:rsid w:val="00EA734B"/>
    <w:rsid w:val="00EA7A7E"/>
    <w:rsid w:val="00EB125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549"/>
    <w:rsid w:val="00ED6FE1"/>
    <w:rsid w:val="00ED77B0"/>
    <w:rsid w:val="00ED7E12"/>
    <w:rsid w:val="00EE04F1"/>
    <w:rsid w:val="00EE07D1"/>
    <w:rsid w:val="00EE17D9"/>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13B"/>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DCD"/>
    <w:rsid w:val="00F21E1D"/>
    <w:rsid w:val="00F233CB"/>
    <w:rsid w:val="00F23936"/>
    <w:rsid w:val="00F2552D"/>
    <w:rsid w:val="00F257CF"/>
    <w:rsid w:val="00F25A00"/>
    <w:rsid w:val="00F25D48"/>
    <w:rsid w:val="00F26296"/>
    <w:rsid w:val="00F2644B"/>
    <w:rsid w:val="00F26DE2"/>
    <w:rsid w:val="00F270E9"/>
    <w:rsid w:val="00F276B3"/>
    <w:rsid w:val="00F27809"/>
    <w:rsid w:val="00F27947"/>
    <w:rsid w:val="00F27CEB"/>
    <w:rsid w:val="00F301C8"/>
    <w:rsid w:val="00F30803"/>
    <w:rsid w:val="00F30898"/>
    <w:rsid w:val="00F31354"/>
    <w:rsid w:val="00F32100"/>
    <w:rsid w:val="00F33485"/>
    <w:rsid w:val="00F3642C"/>
    <w:rsid w:val="00F3654A"/>
    <w:rsid w:val="00F369BA"/>
    <w:rsid w:val="00F36C5B"/>
    <w:rsid w:val="00F408F6"/>
    <w:rsid w:val="00F40E78"/>
    <w:rsid w:val="00F41680"/>
    <w:rsid w:val="00F41EE0"/>
    <w:rsid w:val="00F42C39"/>
    <w:rsid w:val="00F460B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486"/>
    <w:rsid w:val="00F8493A"/>
    <w:rsid w:val="00F86AAC"/>
    <w:rsid w:val="00F86D14"/>
    <w:rsid w:val="00F87716"/>
    <w:rsid w:val="00F87E26"/>
    <w:rsid w:val="00F909A2"/>
    <w:rsid w:val="00F90B02"/>
    <w:rsid w:val="00F921FF"/>
    <w:rsid w:val="00F9289C"/>
    <w:rsid w:val="00F9442E"/>
    <w:rsid w:val="00F944F3"/>
    <w:rsid w:val="00F946F6"/>
    <w:rsid w:val="00F94F26"/>
    <w:rsid w:val="00F9516C"/>
    <w:rsid w:val="00F9576A"/>
    <w:rsid w:val="00F96F02"/>
    <w:rsid w:val="00F973EA"/>
    <w:rsid w:val="00F97EEE"/>
    <w:rsid w:val="00FA0392"/>
    <w:rsid w:val="00FA0CF8"/>
    <w:rsid w:val="00FA119A"/>
    <w:rsid w:val="00FA2D54"/>
    <w:rsid w:val="00FA3320"/>
    <w:rsid w:val="00FA38D8"/>
    <w:rsid w:val="00FA4B8D"/>
    <w:rsid w:val="00FA6DED"/>
    <w:rsid w:val="00FA76DF"/>
    <w:rsid w:val="00FA78EA"/>
    <w:rsid w:val="00FB0D08"/>
    <w:rsid w:val="00FB5A70"/>
    <w:rsid w:val="00FB640B"/>
    <w:rsid w:val="00FC0689"/>
    <w:rsid w:val="00FC13F0"/>
    <w:rsid w:val="00FC337B"/>
    <w:rsid w:val="00FC43C6"/>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06ABC"/>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990B6"/>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4FE83132"/>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0F91D"/>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8E3CE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fontTable" Target="fontTable.xml" Id="rId22" /><Relationship Type="http://schemas.openxmlformats.org/officeDocument/2006/relationships/hyperlink" Target="https://web.archive.org/web/20250703153300/https://www.bafin.de/SharedDocs/Downloads/DE/Merkblatt/dl_mb_Nachhaltigkeitsrisiken.html" TargetMode="External" Id="Re50c690accfa4613"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114</cp:revision>
  <cp:lastPrinted>2025-03-21T00:14:00Z</cp:lastPrinted>
  <dcterms:created xsi:type="dcterms:W3CDTF">2025-06-20T15:56:00Z</dcterms:created>
  <dcterms:modified xsi:type="dcterms:W3CDTF">2025-07-04T18:32:52Z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